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word/_rels/document.xml.rels" ContentType="application/vnd.openxmlformats-package.relationships+xml"/>
  <Override PartName="/word/footer17.xml" ContentType="application/vnd.openxmlformats-officedocument.wordprocessingml.footer+xml"/>
  <Override PartName="/word/footer8.xml" ContentType="application/vnd.openxmlformats-officedocument.wordprocessingml.footer+xml"/>
  <Override PartName="/word/footer16.xml" ContentType="application/vnd.openxmlformats-officedocument.wordprocessingml.footer+xml"/>
  <Override PartName="/word/footer7.xml" ContentType="application/vnd.openxmlformats-officedocument.wordprocessingml.footer+xml"/>
  <Override PartName="/word/footer15.xml" ContentType="application/vnd.openxmlformats-officedocument.wordprocessingml.footer+xml"/>
  <Override PartName="/word/footer6.xml" ContentType="application/vnd.openxmlformats-officedocument.wordprocessingml.footer+xml"/>
  <Override PartName="/word/footer14.xml" ContentType="application/vnd.openxmlformats-officedocument.wordprocessingml.footer+xml"/>
  <Override PartName="/word/footer5.xml" ContentType="application/vnd.openxmlformats-officedocument.wordprocessingml.footer+xml"/>
  <Override PartName="/word/footer13.xml" ContentType="application/vnd.openxmlformats-officedocument.wordprocessingml.footer+xml"/>
  <Override PartName="/word/footer4.xml" ContentType="application/vnd.openxmlformats-officedocument.wordprocessingml.footer+xml"/>
  <Override PartName="/word/footer12.xml" ContentType="application/vnd.openxmlformats-officedocument.wordprocessingml.footer+xml"/>
  <Override PartName="/word/footer3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settings.xml" ContentType="application/vnd.openxmlformats-officedocument.wordprocessingml.settings+xml"/>
  <Override PartName="/word/footer25.xml" ContentType="application/vnd.openxmlformats-officedocument.wordprocessingml.footer+xml"/>
  <Override PartName="/word/theme/theme1.xml" ContentType="application/vnd.openxmlformats-officedocument.theme+xml"/>
  <Override PartName="/word/footer26.xml" ContentType="application/vnd.openxmlformats-officedocument.wordprocessingml.footer+xml"/>
  <Override PartName="/word/footer22.xml" ContentType="application/vnd.openxmlformats-officedocument.wordprocessingml.footer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footer27.xml" ContentType="application/vnd.openxmlformats-officedocument.wordprocessingml.footer+xml"/>
  <Override PartName="/word/footer21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styles.xml" ContentType="application/vnd.openxmlformats-officedocument.wordprocessingml.styles+xml"/>
  <Override PartName="/word/media/image4.wmf" ContentType="image/x-wmf"/>
  <Override PartName="/word/media/image5.bmp" ContentType="image/bmp"/>
  <Override PartName="/word/media/image1.wmf" ContentType="image/x-wmf"/>
  <Override PartName="/word/media/image2.wmf" ContentType="image/x-wmf"/>
  <Override PartName="/word/media/image3.wmf" ContentType="image/x-wmf"/>
  <Override PartName="/word/document.xml" ContentType="application/vnd.openxmlformats-officedocument.wordprocessingml.document.main+xml"/>
  <Override PartName="/word/embeddings/oleObject4.xlsx" ContentType="application/vnd.openxmlformats-officedocument.spreadsheetml.sheet"/>
  <Override PartName="/word/embeddings/oleObject5.xlsx" ContentType="application/vnd.openxmlformats-officedocument.spreadsheetml.sheet"/>
  <Override PartName="/word/embeddings/oleObject1.xlsx" ContentType="application/vnd.openxmlformats-officedocument.spreadsheetml.sheet"/>
  <Override PartName="/word/embeddings/oleObject2.xlsx" ContentType="application/vnd.openxmlformats-officedocument.spreadsheetml.sheet"/>
  <Override PartName="/word/embeddings/oleObject3.xlsx" ContentType="application/vnd.openxmlformats-officedocument.spreadsheetml.sheet"/>
  <Override PartName="/word/footer1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oter18.xml" ContentType="application/vnd.openxmlformats-officedocument.wordprocessingml.footer+xml"/>
  <Override PartName="/word/footer9.xml" ContentType="application/vnd.openxmlformats-officedocument.wordprocessingml.footer+xml"/>
  <Override PartName="/word/footer1.xml" ContentType="application/vnd.openxmlformats-officedocument.wordprocessingml.footer+xml"/>
  <Override PartName="/word/footer10.xml" ContentType="application/vnd.openxmlformats-officedocument.wordprocessingml.footer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widowControl w:val="false"/>
        <w:tabs>
          <w:tab w:val="clear" w:pos="709"/>
          <w:tab w:val="left" w:pos="426" w:leader="none"/>
        </w:tabs>
        <w:spacing w:lineRule="auto" w:line="240" w:before="0" w:after="0"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 xml:space="preserve">Приложение № 2 к ТТ </w:t>
      </w:r>
    </w:p>
    <w:p>
      <w:pPr>
        <w:pStyle w:val="ConsPlusNormal1"/>
        <w:widowControl/>
        <w:tabs>
          <w:tab w:val="clear" w:pos="709"/>
          <w:tab w:val="left" w:pos="1260" w:leader="none"/>
        </w:tabs>
        <w:ind w:left="1260" w:hanging="1080"/>
        <w:jc w:val="center"/>
        <w:rPr>
          <w:rFonts w:ascii="Times New Roman" w:hAnsi="Times New Roman" w:cs="Times New Roman"/>
          <w:b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2"/>
          <w:szCs w:val="22"/>
          <w:shd w:fill="auto" w:val="clear"/>
        </w:rPr>
      </w:r>
    </w:p>
    <w:p>
      <w:pPr>
        <w:pStyle w:val="ConsPlusNormal1"/>
        <w:widowControl/>
        <w:tabs>
          <w:tab w:val="clear" w:pos="709"/>
          <w:tab w:val="left" w:pos="1260" w:leader="none"/>
        </w:tabs>
        <w:ind w:left="1260" w:hanging="108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Требования к оформлению и составлению</w:t>
      </w:r>
    </w:p>
    <w:p>
      <w:pPr>
        <w:pStyle w:val="ConsPlusNormal1"/>
        <w:widowControl/>
        <w:tabs>
          <w:tab w:val="clear" w:pos="709"/>
          <w:tab w:val="left" w:pos="1620" w:leader="none"/>
        </w:tabs>
        <w:ind w:firstLine="18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сметной документации на строительство и реконструкцию объектов капитального строительства</w:t>
      </w:r>
    </w:p>
    <w:p>
      <w:pPr>
        <w:pStyle w:val="ConsPlusNormal1"/>
        <w:widowControl/>
        <w:tabs>
          <w:tab w:val="clear" w:pos="709"/>
          <w:tab w:val="left" w:pos="1620" w:leader="none"/>
        </w:tabs>
        <w:ind w:firstLine="180"/>
        <w:jc w:val="both"/>
        <w:rPr>
          <w:rFonts w:ascii="Times New Roman" w:hAnsi="Times New Roman" w:cs="Times New Roman"/>
          <w:b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Основные условия ценообразования изложены в приложении № 4 к настоящим требованиям и являются неотъемлемой частью требований к составлению сметной документации.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Использование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нормативов ценообразования, не зарегистрированных и не вошедших в ФРСН, </w:t>
      </w:r>
      <w:r>
        <w:rPr>
          <w:rFonts w:ascii="Times New Roman" w:hAnsi="Times New Roman"/>
          <w:b/>
          <w:sz w:val="24"/>
          <w:szCs w:val="24"/>
          <w:u w:val="single"/>
          <w:shd w:fill="auto" w:val="clear"/>
        </w:rPr>
        <w:t>не допускается</w:t>
      </w:r>
      <w:r>
        <w:rPr>
          <w:rFonts w:ascii="Times New Roman" w:hAnsi="Times New Roman"/>
          <w:sz w:val="24"/>
          <w:szCs w:val="24"/>
          <w:shd w:fill="auto" w:val="clear"/>
        </w:rPr>
        <w:t>, кроме случаев, прямо указанных в настоящих требованиях.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составлении смет руководствоваться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введенной в действие Приказом Министерства строительства и ЖКХ РФ от 04.08.2020 № 421/пр. (далее - Методикой определения сметной стоимости строительства), с учетом изменений и дополнений, а так же Методикой определения сметной стоимости строительства с применением федеральных единичных расценок и их отдельных составляющих, утверждённой Приказом Министерства строительства и ЖКХ РФ от 08.08.2022г № 648/пр. с учетом изменений и дополнений.</w:t>
      </w:r>
    </w:p>
    <w:p>
      <w:pPr>
        <w:pStyle w:val="Xmsolistparagraph"/>
        <w:numPr>
          <w:ilvl w:val="0"/>
          <w:numId w:val="6"/>
        </w:numPr>
        <w:shd w:val="clear" w:color="auto" w:fill="FFFFFF"/>
        <w:tabs>
          <w:tab w:val="clear" w:pos="709"/>
          <w:tab w:val="left" w:pos="1134" w:leader="none"/>
        </w:tabs>
        <w:spacing w:beforeAutospacing="0" w:before="0" w:afterAutospacing="0" w:after="0"/>
        <w:ind w:left="0" w:firstLine="567"/>
        <w:jc w:val="both"/>
        <w:rPr>
          <w:highlight w:val="none"/>
          <w:shd w:fill="auto" w:val="clear"/>
        </w:rPr>
      </w:pPr>
      <w:r>
        <w:rPr>
          <w:color w:val="000000"/>
          <w:shd w:fill="auto" w:val="clear"/>
        </w:rPr>
        <w:t>Сметная цена материальных ресурсов и (или) оборудования (далее –МТР), закупаемых на территории региона субъекта Российской Федерации,</w:t>
      </w:r>
      <w:r>
        <w:rPr>
          <w:color w:val="1F497D"/>
          <w:shd w:fill="auto" w:val="clear"/>
        </w:rPr>
        <w:t xml:space="preserve"> </w:t>
      </w:r>
      <w:r>
        <w:rPr>
          <w:color w:val="000000"/>
          <w:shd w:fill="auto" w:val="clear"/>
        </w:rPr>
        <w:t>определяется в базисном уровне цен по состоянию на 01.01.2022 с использованием ФСБЦ-2022, индексов по группам однородных строительных ресурсов, размещенных во ФГИС ЦС по субъекту Российской Федерации, в котором расположен объект строительства.</w:t>
      </w:r>
    </w:p>
    <w:p>
      <w:pPr>
        <w:pStyle w:val="Normal"/>
        <w:tabs>
          <w:tab w:val="clear" w:pos="709"/>
          <w:tab w:val="left" w:pos="284" w:leader="none"/>
          <w:tab w:val="left" w:pos="1134" w:leader="none"/>
        </w:tabs>
        <w:spacing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отсутствии информации о сметных ценах в ФГИС ЦС и ФССЦ по материальным ресурсам и оборудованию, их сметная цена определяются по наиболее экономичному варианту, определенному на основании сбора информации о текущих ценах (далее - конъюнктурный анализ) в соответствии с Приложении № 2 к настоящим требованиям.</w:t>
      </w:r>
    </w:p>
    <w:p>
      <w:pPr>
        <w:pStyle w:val="ConsPlusNormal1"/>
        <w:numPr>
          <w:ilvl w:val="0"/>
          <w:numId w:val="6"/>
        </w:numPr>
        <w:tabs>
          <w:tab w:val="clear" w:pos="709"/>
          <w:tab w:val="left" w:pos="284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При определении сметной стоимости в 2-х уровнях цен (текущем и базисном), стоимость указанных материальных ресурсов и оборудования, определяется в базисном уровне цен как отношение их стоимости в текущем уровне цен к соответствующим индексам изменения сметной стоимости, примененным при составлении сметной документации.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Затраты на эксплуатацию строительной техники, не учтенной нормами и расценками, включенными в ФРСН, определяются Методами, предусмотренными Методикой ПЦ (методы без использования сметных нормативов) и включаются в Главу 9 ССР</w:t>
      </w:r>
      <w:r>
        <w:rPr>
          <w:rFonts w:ascii="Times New Roman" w:hAnsi="Times New Roman"/>
          <w:b/>
          <w:color w:val="FF0000"/>
          <w:sz w:val="24"/>
          <w:szCs w:val="24"/>
          <w:shd w:fill="auto" w:val="clear"/>
        </w:rPr>
        <w:t>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567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При составлении сметной документации корректировка наименования работ, принятой расценки недопустима. При необходимости, вся дополнительная информация указывается в скобках, после указания наименования расценки (</w:t>
      </w:r>
      <w:r>
        <w:rPr>
          <w:rFonts w:cs="Times New Roman" w:ascii="Times New Roman" w:hAnsi="Times New Roman"/>
          <w:i/>
          <w:color w:val="000000"/>
          <w:sz w:val="24"/>
          <w:szCs w:val="24"/>
          <w:shd w:fill="auto" w:val="clear"/>
        </w:rPr>
        <w:t>например, Разборка, очистка, замена уплотнения, сборка крышки ванны подшипника: диаметр шейки вала свыше 0.95 до 1,5 м (диаметр шейки вала – 1.3 м), л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ибо указывается в примечании, через дополнительную информацию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  <w:lang w:val="en-US"/>
        </w:rPr>
        <w:t>(в ПК Гранд-Смета).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формировании сметной стоимости в ЛСР (ЛС) отдельно выделяется сметная стоимость по видам оборудования: инженерное; технологическое; лабораторное; транспортные средства; инструмент для технологических процессов; производственный и хозяйственный инвентарь, в т.ч. мебель.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использовании в сметах коэффициентов и лимитированных затрат указывать обоснование из технической части, вводных указаний сборников или других нормативных документов и приложений к ним.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Поправочные коэффициенты из технической части к расценкам (например, на демонтаж или для учета особых условий выполнения работ) учитываются индивидуально для каждой позиции и в выходных формах при выгрузке в формат «Excel» и указываются попозиционно.</w:t>
      </w:r>
      <w:r>
        <w:rPr>
          <w:rFonts w:ascii="Times New Roman" w:hAnsi="Times New Roman"/>
          <w:color w:val="FF0000"/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sz w:val="24"/>
          <w:szCs w:val="24"/>
          <w:shd w:fill="auto" w:val="clear"/>
        </w:rPr>
        <w:t>Коэффициенты, учитывающие усложняющие факторы и условия производства работ, могут применяться одновременно с другими коэффициентами, предусмотренными сметными нормативами, включенными в ФРСН. При одновременном применении коэффициенты перемножаются, результат округляется до семи знаков после запятой.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внесении изменений в сметную документацию разрабатывается сводный сметный расчет, определяющий общую сметную стоимость строительства с учетом произведенных изменений проектной и (или) иной технической документации на полный объем работ с учетом объемов корректировки (исключаемых и дополнительных). Локальные сметные расчеты (сметы) разрабатываются отдельно на исключаемые и дополнительные объемы работ.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ЛСР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(ЛС) указывать величину накладных расходов по видам строительных, ремонтно-строительных, монтажных и пусконаладочных работ, на основании нормативных документов, внесенных в ФРСН.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ЛСР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(ЛС) указывать величину сметной прибыли по видам строительных, ремонтно-строительных, монтажных и пусконаладочных работ, на основании актуальных нормативных документов, внесенных в ФРСН.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Понижающий коэффициент начисляется в локальных сметах единым индексом в итогах (после начисления лимитированных затрат в случае составления одной сметы). При этом, понижающий коэффициент, указывается в размере не более 7-ми знаков после запятой.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Сметная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стоимость пусконаладочных работ определяется на основании утвержденных заказчиком программы и графика. Расчет стоимости пусконаладочных работ составлять с применением сметных нормативов, включенных в ФРСН. При определении сметной стоимости полного комплекса пусконаладочных работ на основании раздела </w:t>
      </w:r>
      <w:r>
        <w:rPr>
          <w:rFonts w:ascii="Times New Roman" w:hAnsi="Times New Roman"/>
          <w:sz w:val="24"/>
          <w:szCs w:val="24"/>
          <w:shd w:fill="auto" w:val="clear"/>
          <w:lang w:val="en-US"/>
        </w:rPr>
        <w:t>VII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. Методики определения сметной стоимости строительства: 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Затраты на проведение пусконаладочных работ «вхолостую» по объектам производственного и непроизводственного назначения, связанных с получением дохода от реализации товаров (услуг) включаются в Главу 9 «Прочие работы и затраты» (графы 7 и 8) ССР. В соответствии с заданием Заказчика и при обосновании программами ПНР (комплексного опробования оборудования), в сметной стоимости ПНР дополнительно могут учитываться: стоимость материальных, энергетических ресурсов, сырья и полуфабрикатов, используемых при проведении ПНР «вхолостую».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Пусконаладочные работы «под нагрузкой» для объектов производственного и непроизводственного назначения, связанных с получением дохода от реализации товаров (услуг) не относятся на сметную стоимость строительства и в сметной документации не учитываются. Исключением являются ПНР на особо опасных, технически сложных и уникальных объектах капитального строительства, где необходимость учета таких затрат определяется заказчиком.</w:t>
      </w:r>
    </w:p>
    <w:p>
      <w:pPr>
        <w:pStyle w:val="ConsPlusNormal1"/>
        <w:tabs>
          <w:tab w:val="left" w:pos="709" w:leader="none"/>
          <w:tab w:val="left" w:pos="1134" w:leader="none"/>
        </w:tabs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Данные работы оформляются отдельными локальными сметами в соответствии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 Приложением № 1.5 к Требованиям по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 и включаются в ССР. </w:t>
      </w:r>
    </w:p>
    <w:p>
      <w:pPr>
        <w:pStyle w:val="ListParagraph"/>
        <w:numPr>
          <w:ilvl w:val="0"/>
          <w:numId w:val="6"/>
        </w:numPr>
        <w:tabs>
          <w:tab w:val="clear" w:pos="709"/>
          <w:tab w:val="left" w:pos="1134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В ЛС на ПНР коэффициенты, учитывающие условия производства работ, начисляются только на те этапы работ, которые фактически производятся в данных условиях. Долю работ в общих затратах, для начисления коэффициента, принимать в соответствии со структурой пусконаладочных работ, приведенной в Общих положениях сборников на ПНР.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сметных затрат на демонтаж строительных конструкций и оборудования стоимость погрузки, перевозки (от строительной площадки до места утилизации или складирования) и разгрузки строительного мусора и материалов, полученных при разборке строительных конструкций и оборудования, следует учитывать дополнительно, на основании проектной и (или) иной технической документации, проекта организации работ по сносу объекта капитального строительства.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локальных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сметных расчетах построчные и итоговые суммы </w:t>
      </w:r>
      <w:r>
        <w:rPr>
          <w:rFonts w:ascii="Times New Roman" w:hAnsi="Times New Roman"/>
          <w:b/>
          <w:sz w:val="24"/>
          <w:szCs w:val="24"/>
          <w:u w:val="single"/>
          <w:shd w:fill="auto" w:val="clear"/>
        </w:rPr>
        <w:t>округлять: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при ресурсно-индексном и ресурсным методах, а также в сметных расчетах на отдельные виды затрат - в рублях </w:t>
      </w: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до целых единиц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;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в объектных сметных расчетах (сметах), сводном сметном расчете и сводке затрат - в рублях с до двух знаков после запятой. Величину НДС не указывать.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Выходные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формы сметных расчетов должны соответствовать Образцу согласно Приложению 1.5.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В сметных расчетах при исключении и добавлении ресурсов (материалов) необходимо данные ресурсы относить в отдельную позицию, не допускается изменение внутри расценки.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При наличии двух и более сметных расчетов составлять ССР в текущем уровне цен 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по форме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Приложения № 1.1 к Требованиям к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случае заключений дополнительных соглашений к договору (далее - д/с), ССР необходимо выполнять в накопительной форме с учетом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ЛСР (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ЛС) к основному договору и ко всем заключенным д/с к нему. В итогах ССР (справочно) указывать суммы изменения (уменьшения, увеличения) основного договора на основании заключения д/с, которые определяются как разница между суммой ССР очередного д/с и стоимостью основного договора. Форма ССР с учетом заключения д/с к договору приведена в Приложении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№ 1.2 к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Требованиям к оформлению и составлению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сметной документации на выполнение строительно-монтажных работ по строительству и реконструкции объектов капитального строительства.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ЛСР (ЛС) разрабатываются отдельно на исключаемые и дополнительные объемы работ. К сметной документации дополнительно прилагаются и являются ее неотъемлемой частью сопоставительные ведомости изменения сметной стоимости и сопоставительные ведомости изменения объемов работ, подготовленные в соответствии с Образцом по Приложениям №№ 1.3 и 1.4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к Требованиям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к оформлению и составлению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сметной документации на выполнение строительно-монтажных работ по строительству и реконструкции объектов капитального строительства.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 являются приложениями к ССР. Нумерация приложений указывается по мере включения ЛС в ССР в накопительной форме - по порядку.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Разнесение затрат (сумм ЛС) по графам и главам ССР осуществлять в соответствии с указаниями Методики определения сметной стоимости строительства.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ССР, построчные и итоговые суммы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указывать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 рублях с округлением до двух знаков после запятой. Величину НДС не указывать.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случае выполнения Подрядчиком полного комплекса пусконаладочных работ («вхолостую» и «под нагрузкой») сумму затрат на выполнение пусконаладочных работ «под нагрузкой» включать за итогом ССР. Таким образом, общая стоимость работ по договору (дополнительному соглашению) будет включать в себя все затраты Подрядчика в рамках конкретного договора, включая пусконаладочные работы «под нагрузкой» (для работ, выполняемых в рамках ТПиР).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 случае если договором определена только предельная цена, то в ССР указываются составляющие стоимости в соответствии с договором.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Сметная документация должна быть представлена в двух вариантах: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851" w:leader="none"/>
          <w:tab w:val="left" w:pos="1134" w:leader="none"/>
        </w:tabs>
        <w:spacing w:before="40" w:after="40"/>
        <w:ind w:left="0" w:firstLine="709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на бумажном носителе (количество указано в конкурсной документации) Образец ЛСР в соответствии с приложением № 1.5 к Требованиям к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строительства;</w:t>
      </w:r>
    </w:p>
    <w:p>
      <w:pPr>
        <w:sectPr>
          <w:footerReference w:type="default" r:id="rId2"/>
          <w:type w:val="nextPage"/>
          <w:pgSz w:w="11906" w:h="16838"/>
          <w:pgMar w:left="1304" w:right="924" w:gutter="0" w:header="0" w:top="539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rmal1"/>
        <w:numPr>
          <w:ilvl w:val="0"/>
          <w:numId w:val="4"/>
        </w:numPr>
        <w:tabs>
          <w:tab w:val="left" w:pos="709" w:leader="none"/>
          <w:tab w:val="left" w:pos="851" w:leader="none"/>
        </w:tabs>
        <w:spacing w:before="40" w:after="40"/>
        <w:ind w:left="0" w:firstLine="709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на электронном носителе (в формате «xml» ПК «Гранд-Смета», «Excel», «pdf»), полностью соответствующему, бумажному варианту. Сметная документация в формате «Excel» должна быть представлена в одном файле с внесением ССР, ЛСР и других расчетов на отдельные листы (вкладки) документа.</w:t>
      </w:r>
      <w:r>
        <w:br w:type="page"/>
      </w:r>
    </w:p>
    <w:p>
      <w:pPr>
        <w:pStyle w:val="ListParagraph"/>
        <w:spacing w:lineRule="auto" w:line="240" w:before="0" w:after="0"/>
        <w:ind w:left="928" w:right="666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Приложение №1.1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к Требованиям к оформлению и составлению сметной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документации на выполнение работ по строительству и реконструкции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объектов капитального строительства  </w:t>
      </w:r>
    </w:p>
    <w:tbl>
      <w:tblPr>
        <w:tblW w:w="15834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238"/>
        <w:gridCol w:w="73"/>
        <w:gridCol w:w="1635"/>
        <w:gridCol w:w="583"/>
        <w:gridCol w:w="2842"/>
        <w:gridCol w:w="105"/>
        <w:gridCol w:w="12"/>
        <w:gridCol w:w="1525"/>
        <w:gridCol w:w="130"/>
        <w:gridCol w:w="14"/>
        <w:gridCol w:w="1677"/>
        <w:gridCol w:w="68"/>
        <w:gridCol w:w="14"/>
        <w:gridCol w:w="1840"/>
        <w:gridCol w:w="11"/>
        <w:gridCol w:w="38"/>
        <w:gridCol w:w="1930"/>
        <w:gridCol w:w="19"/>
        <w:gridCol w:w="300"/>
        <w:gridCol w:w="1667"/>
        <w:gridCol w:w="10"/>
        <w:gridCol w:w="101"/>
      </w:tblGrid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sz w:val="18"/>
                <w:szCs w:val="18"/>
                <w:shd w:fill="auto" w:val="clear"/>
              </w:rPr>
              <w:t>ОБРАЗЕЦ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854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965" w:type="dxa"/>
            <w:gridSpan w:val="6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Приложение __ от 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к Договору № _________ от ______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СОГЛАСОВАНО: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9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УТВЕРЖДАЮ: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___________________ФИО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9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___________________ФИО       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6488" w:type="dxa"/>
            <w:gridSpan w:val="7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"_______" _____________ 20___ г.</w:t>
            </w:r>
          </w:p>
        </w:tc>
        <w:tc>
          <w:tcPr>
            <w:tcW w:w="166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5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"______" ____________________ 20__ г.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5" w:hRule="atLeast"/>
        </w:trPr>
        <w:tc>
          <w:tcPr>
            <w:tcW w:w="123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7259" w:type="dxa"/>
            <w:gridSpan w:val="11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Сводный сметный расчет в сумме:______</w:t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руб. без НДС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44" w:hRule="atLeast"/>
        </w:trPr>
        <w:tc>
          <w:tcPr>
            <w:tcW w:w="123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280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 xml:space="preserve">СВОДНЫЙ СМЕТНЫЙ РАСЧЕТ </w:t>
            </w:r>
          </w:p>
        </w:tc>
        <w:tc>
          <w:tcPr>
            <w:tcW w:w="197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08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206" w:type="dxa"/>
            <w:gridSpan w:val="13"/>
            <w:tcBorders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i/>
                <w:i/>
                <w:i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280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(наименование стройки)</w:t>
            </w:r>
          </w:p>
        </w:tc>
        <w:tc>
          <w:tcPr>
            <w:tcW w:w="197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678" w:type="dxa"/>
            <w:gridSpan w:val="1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Составлен в ценах, соответствующих периоду выполнения работ по договору</w:t>
            </w:r>
          </w:p>
        </w:tc>
        <w:tc>
          <w:tcPr>
            <w:tcW w:w="1851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7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55" w:hRule="atLeast"/>
        </w:trPr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229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Номера сметных расчетов и смет</w:t>
            </w:r>
          </w:p>
        </w:tc>
        <w:tc>
          <w:tcPr>
            <w:tcW w:w="29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 глав, объектов, работ и затрат</w:t>
            </w:r>
          </w:p>
        </w:tc>
        <w:tc>
          <w:tcPr>
            <w:tcW w:w="7259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руб.</w:t>
            </w:r>
          </w:p>
        </w:tc>
        <w:tc>
          <w:tcPr>
            <w:tcW w:w="198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Общая сметная стоимость, руб.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строительных работ</w:t>
            </w:r>
          </w:p>
        </w:tc>
        <w:tc>
          <w:tcPr>
            <w:tcW w:w="1759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монтажных работ</w:t>
            </w:r>
          </w:p>
        </w:tc>
        <w:tc>
          <w:tcPr>
            <w:tcW w:w="1854" w:type="dxa"/>
            <w:gridSpan w:val="2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оборудования, мебели, инвентаря</w:t>
            </w:r>
          </w:p>
        </w:tc>
        <w:tc>
          <w:tcPr>
            <w:tcW w:w="1979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прочих</w:t>
            </w:r>
          </w:p>
        </w:tc>
        <w:tc>
          <w:tcPr>
            <w:tcW w:w="1986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2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854" w:type="dxa"/>
            <w:gridSpan w:val="2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79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2291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2947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667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75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85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197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1986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73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Глава 2. Основные объекты строительства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2291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02-01-01</w:t>
            </w:r>
          </w:p>
        </w:tc>
        <w:tc>
          <w:tcPr>
            <w:tcW w:w="294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…</w:t>
            </w:r>
          </w:p>
        </w:tc>
        <w:tc>
          <w:tcPr>
            <w:tcW w:w="166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color="000000" w:fill="FFFFFF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86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Главе 2. "Основные объекты строительства"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Главам 1-12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573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Непредвиденные затраты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91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94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color="000000" w:fill="FFFFFF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с учетом "Непредвиденные затраты"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сводному расчету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5" w:hRule="atLeast"/>
        </w:trPr>
        <w:tc>
          <w:tcPr>
            <w:tcW w:w="131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Составил:</w:t>
            </w:r>
          </w:p>
        </w:tc>
        <w:tc>
          <w:tcPr>
            <w:tcW w:w="3425" w:type="dxa"/>
            <w:gridSpan w:val="2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42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21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1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49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312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25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34" w:type="dxa"/>
            <w:gridSpan w:val="11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49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312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Проверил:</w:t>
            </w:r>
          </w:p>
        </w:tc>
        <w:tc>
          <w:tcPr>
            <w:tcW w:w="3425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42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2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1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49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724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/>
              <w:object>
                <v:shapetype id="_x0000_tole_rId3" coordsize="21600,21600" o:spt="ole_rId3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" type="_x0000_tole_rId3" style="width:68.3pt;height:43.8pt;mso-wrap-distance-right:0pt" filled="f" o:ole="">
                  <v:imagedata r:id="rId4" o:title=""/>
                </v:shape>
                <o:OLEObject Type="Embed" ProgID="Excel.Sheet.12" ShapeID="ole_rId3" DrawAspect="Icon" ObjectID="_1307746391" r:id="rId3"/>
              </w:object>
            </w:r>
          </w:p>
        </w:tc>
        <w:tc>
          <w:tcPr>
            <w:tcW w:w="3425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34" w:type="dxa"/>
            <w:gridSpan w:val="11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49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</w:tr>
    </w:tbl>
    <w:p>
      <w:pPr>
        <w:sectPr>
          <w:footerReference w:type="default" r:id="rId5"/>
          <w:footerReference w:type="first" r:id="rId6"/>
          <w:type w:val="nextPage"/>
          <w:pgSz w:orient="landscape" w:w="16838" w:h="11906"/>
          <w:pgMar w:left="425" w:right="851" w:gutter="0" w:header="0" w:top="851" w:footer="709" w:bottom="766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397" w:firstLine="720"/>
        <w:contextualSpacing/>
        <w:rPr>
          <w:highlight w:val="none"/>
          <w:shd w:fill="auto" w:val="clear"/>
        </w:rPr>
      </w:pPr>
      <w:r>
        <w:rPr>
          <w:rFonts w:ascii="Times New Roman" w:hAnsi="Times New Roman"/>
          <w:b/>
          <w:shd w:fill="auto" w:val="clear"/>
        </w:rPr>
        <w:t>ОБРАЗЕЦ</w:t>
      </w:r>
      <w:r>
        <w:rPr>
          <w:rFonts w:ascii="Times New Roman" w:hAnsi="Times New Roman"/>
          <w:shd w:fill="auto" w:val="clear"/>
        </w:rPr>
        <w:t xml:space="preserve">             </w:t>
      </w:r>
    </w:p>
    <w:p>
      <w:pPr>
        <w:pStyle w:val="Normal"/>
        <w:spacing w:lineRule="auto" w:line="240" w:before="0" w:after="0"/>
        <w:ind w:left="8646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№1.2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к Требованиям к оформлению и составлению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строительство и реконструкцию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объектов капитального строительства</w:t>
      </w:r>
    </w:p>
    <w:tbl>
      <w:tblPr>
        <w:tblW w:w="16199" w:type="dxa"/>
        <w:jc w:val="left"/>
        <w:tblInd w:w="142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722"/>
        <w:gridCol w:w="219"/>
        <w:gridCol w:w="1445"/>
        <w:gridCol w:w="220"/>
        <w:gridCol w:w="3264"/>
        <w:gridCol w:w="235"/>
        <w:gridCol w:w="217"/>
        <w:gridCol w:w="1207"/>
        <w:gridCol w:w="1843"/>
        <w:gridCol w:w="246"/>
        <w:gridCol w:w="823"/>
        <w:gridCol w:w="917"/>
        <w:gridCol w:w="256"/>
        <w:gridCol w:w="536"/>
        <w:gridCol w:w="217"/>
        <w:gridCol w:w="844"/>
        <w:gridCol w:w="413"/>
        <w:gridCol w:w="26"/>
        <w:gridCol w:w="444"/>
        <w:gridCol w:w="439"/>
        <w:gridCol w:w="217"/>
        <w:gridCol w:w="716"/>
        <w:gridCol w:w="731"/>
      </w:tblGrid>
      <w:tr>
        <w:trPr>
          <w:trHeight w:val="78" w:hRule="atLeast"/>
        </w:trPr>
        <w:tc>
          <w:tcPr>
            <w:tcW w:w="2606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>СОГЛАСОВАНО:</w:t>
            </w:r>
          </w:p>
        </w:tc>
        <w:tc>
          <w:tcPr>
            <w:tcW w:w="371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</w:r>
          </w:p>
        </w:tc>
        <w:tc>
          <w:tcPr>
            <w:tcW w:w="329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>УТВЕРЖДАЮ:</w:t>
            </w:r>
          </w:p>
        </w:tc>
      </w:tr>
      <w:tr>
        <w:trPr>
          <w:trHeight w:val="312" w:hRule="atLeast"/>
        </w:trPr>
        <w:tc>
          <w:tcPr>
            <w:tcW w:w="2606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_______________ ФИО</w:t>
            </w:r>
          </w:p>
        </w:tc>
        <w:tc>
          <w:tcPr>
            <w:tcW w:w="371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2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________________ФИО</w:t>
            </w:r>
          </w:p>
        </w:tc>
      </w:tr>
      <w:tr>
        <w:trPr>
          <w:trHeight w:val="312" w:hRule="atLeast"/>
        </w:trPr>
        <w:tc>
          <w:tcPr>
            <w:tcW w:w="6322" w:type="dxa"/>
            <w:gridSpan w:val="7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"___" _____________ 20__ г.</w:t>
            </w:r>
          </w:p>
        </w:tc>
        <w:tc>
          <w:tcPr>
            <w:tcW w:w="32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"___" _____________ 20__ г.</w:t>
            </w:r>
          </w:p>
        </w:tc>
      </w:tr>
      <w:tr>
        <w:trPr>
          <w:trHeight w:val="312" w:hRule="atLeast"/>
        </w:trPr>
        <w:tc>
          <w:tcPr>
            <w:tcW w:w="94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164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336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70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6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83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3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93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095" w:type="dxa"/>
            <w:gridSpan w:val="9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 xml:space="preserve">Сводный сметный расчет в сумме </w:t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руб. без НДС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1264" w:type="dxa"/>
            <w:gridSpan w:val="1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 xml:space="preserve">СВОДНЫЙ СМЕТНЫЙ РАСЧЕТ </w:t>
            </w:r>
          </w:p>
        </w:tc>
        <w:tc>
          <w:tcPr>
            <w:tcW w:w="1816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364" w:type="dxa"/>
            <w:gridSpan w:val="18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 </w:t>
            </w:r>
          </w:p>
        </w:tc>
        <w:tc>
          <w:tcPr>
            <w:tcW w:w="716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488" w:type="dxa"/>
            <w:gridSpan w:val="7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20"/>
                <w:szCs w:val="20"/>
                <w:shd w:fill="auto" w:val="clear"/>
              </w:rPr>
              <w:t xml:space="preserve">               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  <w:shd w:fill="auto" w:val="clear"/>
              </w:rPr>
              <w:t>(наименование стройки)</w:t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67" w:type="dxa"/>
            <w:gridSpan w:val="1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Составлен в текущих ценах, соответствующих периоду выполнения работ по договору</w:t>
            </w:r>
          </w:p>
        </w:tc>
        <w:tc>
          <w:tcPr>
            <w:tcW w:w="2383" w:type="dxa"/>
            <w:gridSpan w:val="6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16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4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3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4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3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55" w:hRule="atLeast"/>
        </w:trPr>
        <w:tc>
          <w:tcPr>
            <w:tcW w:w="7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16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Номера сметных расчетов и смет</w:t>
            </w:r>
          </w:p>
        </w:tc>
        <w:tc>
          <w:tcPr>
            <w:tcW w:w="348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 глав, объектов, работ и затрат</w:t>
            </w:r>
          </w:p>
        </w:tc>
        <w:tc>
          <w:tcPr>
            <w:tcW w:w="7754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руб.</w:t>
            </w:r>
          </w:p>
        </w:tc>
        <w:tc>
          <w:tcPr>
            <w:tcW w:w="184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ind w:left="-113" w:firstLine="72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Общая сметная</w:t>
            </w:r>
          </w:p>
          <w:p>
            <w:pPr>
              <w:pStyle w:val="Normal"/>
              <w:widowControl w:val="false"/>
              <w:spacing w:lineRule="auto" w:line="240" w:before="0" w:after="0"/>
              <w:ind w:left="-113" w:firstLine="72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стоимость, руб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597" w:hRule="atLeast"/>
        </w:trPr>
        <w:tc>
          <w:tcPr>
            <w:tcW w:w="72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строитель-</w:t>
              <w:br/>
              <w:t>ных работ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монтажных работ</w:t>
            </w:r>
          </w:p>
        </w:tc>
        <w:tc>
          <w:tcPr>
            <w:tcW w:w="1986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оборудования, мебели, инвентаря</w:t>
            </w:r>
          </w:p>
        </w:tc>
        <w:tc>
          <w:tcPr>
            <w:tcW w:w="2266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прочих</w:t>
            </w:r>
          </w:p>
        </w:tc>
        <w:tc>
          <w:tcPr>
            <w:tcW w:w="1842" w:type="dxa"/>
            <w:gridSpan w:val="5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ind w:left="720" w:hanging="595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166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348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65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986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2266" w:type="dxa"/>
            <w:gridSpan w:val="5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 xml:space="preserve">Глава 2. Основные объекты 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Сметы основного договора: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166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02-01-01</w:t>
            </w:r>
          </w:p>
        </w:tc>
        <w:tc>
          <w:tcPr>
            <w:tcW w:w="348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0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Исключить дополнительным соглашением №___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05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исключено Дополнительным соглашением №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35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Включить дополнительным соглашением №____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02-01-02/1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3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включено Дополнительным соглашением №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2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Главе 2. "Основные объекты"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Всего по сводному сметному расчету, без учета НДС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сумма основного договора (без НДС)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771" w:hRule="atLeast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ДС №___ от ___.__.20___г.</w:t>
            </w:r>
          </w:p>
        </w:tc>
        <w:tc>
          <w:tcPr>
            <w:tcW w:w="348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сумма увеличения основного договора на основании дополнительного соглашения № ___ без НДС</w:t>
            </w:r>
          </w:p>
        </w:tc>
        <w:tc>
          <w:tcPr>
            <w:tcW w:w="1659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 xml:space="preserve">0  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5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Составил: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88" w:type="dxa"/>
            <w:gridSpan w:val="7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66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Проверил: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88" w:type="dxa"/>
            <w:gridSpan w:val="7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66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</w:tbl>
    <w:p>
      <w:pPr>
        <w:pStyle w:val="ConsPlusNormal1"/>
        <w:jc w:val="right"/>
        <w:rPr>
          <w:rFonts w:ascii="Times New Roman" w:hAnsi="Times New Roman" w:cs="Times New Roman"/>
          <w:highlight w:val="none"/>
          <w:shd w:fill="auto" w:val="clear"/>
        </w:rPr>
      </w:pPr>
      <w:r>
        <w:rPr>
          <w:rFonts w:cs="Times New Roman" w:ascii="Times New Roman" w:hAnsi="Times New Roman"/>
          <w:shd w:fill="auto" w:val="clear"/>
        </w:rPr>
      </w:r>
    </w:p>
    <w:p>
      <w:pPr>
        <w:sectPr>
          <w:footerReference w:type="default" r:id="rId9"/>
          <w:footerReference w:type="first" r:id="rId10"/>
          <w:type w:val="nextPage"/>
          <w:pgSz w:orient="landscape" w:w="16838" w:h="11906"/>
          <w:pgMar w:left="425" w:right="851" w:gutter="0" w:header="0" w:top="1276" w:footer="709" w:bottom="766"/>
          <w:pgNumType w:fmt="decimal"/>
          <w:formProt w:val="false"/>
          <w:textDirection w:val="lrTb"/>
          <w:docGrid w:type="default" w:linePitch="360" w:charSpace="0"/>
        </w:sectPr>
        <w:pStyle w:val="Normal"/>
        <w:spacing w:lineRule="auto" w:line="240" w:before="0" w:after="0"/>
        <w:contextualSpacing/>
        <w:rPr>
          <w:highlight w:val="none"/>
          <w:shd w:fill="auto" w:val="clear"/>
        </w:rPr>
      </w:pPr>
      <w:r>
        <w:rPr/>
        <w:object>
          <v:shapetype id="_x0000_tole_rId7" coordsize="21600,21600" o:spt="ole_rId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" type="_x0000_tole_rId7" style="width:79.4pt;height:50.45pt;mso-wrap-distance-right:0pt" filled="f" o:ole="">
            <v:imagedata r:id="rId8" o:title=""/>
          </v:shape>
          <o:OLEObject Type="Embed" ProgID="Excel.Sheet.12" ShapeID="ole_rId7" DrawAspect="Icon" ObjectID="_870542912" r:id="rId7"/>
        </w:object>
      </w:r>
    </w:p>
    <w:p>
      <w:pPr>
        <w:pStyle w:val="Normal"/>
        <w:spacing w:lineRule="auto" w:line="240" w:before="0" w:after="0"/>
        <w:ind w:left="357" w:hanging="0"/>
        <w:contextualSpacing/>
        <w:rPr>
          <w:rFonts w:ascii="Times New Roman" w:hAnsi="Times New Roman"/>
          <w:b/>
          <w:highlight w:val="none"/>
          <w:shd w:fill="auto" w:val="clear"/>
        </w:rPr>
      </w:pPr>
      <w:r>
        <w:rPr>
          <w:rFonts w:ascii="Times New Roman" w:hAnsi="Times New Roman"/>
          <w:b/>
          <w:shd w:fill="auto" w:val="clear"/>
        </w:rPr>
      </w:r>
      <w:bookmarkStart w:id="0" w:name="P2746"/>
      <w:bookmarkStart w:id="1" w:name="P2736"/>
      <w:bookmarkStart w:id="2" w:name="P2566"/>
      <w:bookmarkStart w:id="3" w:name="P2546"/>
      <w:bookmarkStart w:id="4" w:name="P2530"/>
      <w:bookmarkStart w:id="5" w:name="P2526"/>
      <w:bookmarkStart w:id="6" w:name="P2529"/>
      <w:bookmarkStart w:id="7" w:name="P3258"/>
      <w:bookmarkStart w:id="8" w:name="P2945"/>
      <w:bookmarkStart w:id="9" w:name="P2616"/>
      <w:bookmarkStart w:id="10" w:name="P2531"/>
      <w:bookmarkStart w:id="11" w:name="P2506"/>
      <w:bookmarkStart w:id="12" w:name="P2522"/>
      <w:bookmarkStart w:id="13" w:name="P2523"/>
      <w:bookmarkStart w:id="14" w:name="P2524"/>
      <w:bookmarkStart w:id="15" w:name="P2525"/>
      <w:bookmarkStart w:id="16" w:name="P2527"/>
      <w:bookmarkStart w:id="17" w:name="P2528"/>
      <w:bookmarkStart w:id="18" w:name="P2746"/>
      <w:bookmarkStart w:id="19" w:name="P2736"/>
      <w:bookmarkStart w:id="20" w:name="P2566"/>
      <w:bookmarkStart w:id="21" w:name="P2546"/>
      <w:bookmarkStart w:id="22" w:name="P2530"/>
      <w:bookmarkStart w:id="23" w:name="P2526"/>
      <w:bookmarkStart w:id="24" w:name="P2529"/>
      <w:bookmarkStart w:id="25" w:name="P3258"/>
      <w:bookmarkStart w:id="26" w:name="P2945"/>
      <w:bookmarkStart w:id="27" w:name="P2616"/>
      <w:bookmarkStart w:id="28" w:name="P2531"/>
      <w:bookmarkStart w:id="29" w:name="P2506"/>
      <w:bookmarkStart w:id="30" w:name="P2522"/>
      <w:bookmarkStart w:id="31" w:name="P2523"/>
      <w:bookmarkStart w:id="32" w:name="P2524"/>
      <w:bookmarkStart w:id="33" w:name="P2525"/>
      <w:bookmarkStart w:id="34" w:name="P2527"/>
      <w:bookmarkStart w:id="35" w:name="P2528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>
      <w:pPr>
        <w:pStyle w:val="Normal"/>
        <w:spacing w:lineRule="auto" w:line="240" w:before="0" w:after="0"/>
        <w:ind w:left="426" w:hanging="426"/>
        <w:contextualSpacing/>
        <w:rPr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  <w:t>ОБРАЗЕЦ</w:t>
      </w:r>
    </w:p>
    <w:p>
      <w:pPr>
        <w:pStyle w:val="Normal"/>
        <w:spacing w:lineRule="auto" w:line="240" w:before="0" w:after="0"/>
        <w:ind w:left="5811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№1.3 </w:t>
      </w:r>
    </w:p>
    <w:p>
      <w:pPr>
        <w:pStyle w:val="ConsPlusNormal1"/>
        <w:ind w:left="5811" w:firstLine="720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 xml:space="preserve">к Требованиям к оформлению и составлению              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выполнение работ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строительству и реконструкции объектов капитального строительства</w:t>
      </w:r>
    </w:p>
    <w:p>
      <w:pPr>
        <w:pStyle w:val="ConsPlusNormal1"/>
        <w:ind w:left="5811" w:firstLine="72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№___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дополнительному соглашению от ___ № ___</w:t>
      </w:r>
    </w:p>
    <w:p>
      <w:pPr>
        <w:pStyle w:val="ConsPlusNormal1"/>
        <w:ind w:left="5811" w:firstLine="72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                                  </w:t>
      </w:r>
      <w:r>
        <w:rPr>
          <w:rFonts w:ascii="Times New Roman" w:hAnsi="Times New Roman"/>
          <w:shd w:fill="auto" w:val="clear"/>
        </w:rPr>
        <w:t xml:space="preserve">к договору от_______№_____ </w:t>
      </w:r>
    </w:p>
    <w:p>
      <w:pPr>
        <w:pStyle w:val="ConsPlusNormal1"/>
        <w:jc w:val="center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widowControl w:val="false"/>
        <w:spacing w:lineRule="auto" w:line="240" w:before="0" w:after="0"/>
        <w:contextualSpacing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  <w:t>Сопоставительная ведомость изменения сметной стоимости</w:t>
      </w:r>
    </w:p>
    <w:p>
      <w:pPr>
        <w:pStyle w:val="Normal"/>
        <w:widowControl w:val="false"/>
        <w:spacing w:lineRule="auto" w:line="240" w:before="0" w:after="0"/>
        <w:contextualSpacing/>
        <w:jc w:val="both"/>
        <w:rPr>
          <w:rFonts w:ascii="Times New Roman" w:hAnsi="Times New Roman"/>
          <w:b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</w:r>
    </w:p>
    <w:tbl>
      <w:tblPr>
        <w:tblW w:w="10206" w:type="dxa"/>
        <w:jc w:val="left"/>
        <w:tblInd w:w="48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noVBand="0" w:noHBand="0" w:lastColumn="0" w:firstColumn="0" w:lastRow="0" w:firstRow="0"/>
      </w:tblPr>
      <w:tblGrid>
        <w:gridCol w:w="424"/>
        <w:gridCol w:w="850"/>
        <w:gridCol w:w="851"/>
        <w:gridCol w:w="1276"/>
        <w:gridCol w:w="1276"/>
        <w:gridCol w:w="1701"/>
        <w:gridCol w:w="1711"/>
        <w:gridCol w:w="2115"/>
      </w:tblGrid>
      <w:tr>
        <w:trPr>
          <w:trHeight w:val="433" w:hRule="atLeast"/>
        </w:trPr>
        <w:tc>
          <w:tcPr>
            <w:tcW w:w="4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п/п</w:t>
            </w:r>
          </w:p>
        </w:tc>
        <w:tc>
          <w:tcPr>
            <w:tcW w:w="29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Данные сметного расчета (сметы)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тыс. руб.</w:t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Разница в сметной стоимости, руб.</w:t>
            </w:r>
          </w:p>
        </w:tc>
        <w:tc>
          <w:tcPr>
            <w:tcW w:w="21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Обоснование изменений сметной стоимости</w:t>
            </w:r>
          </w:p>
        </w:tc>
      </w:tr>
      <w:tr>
        <w:trPr/>
        <w:tc>
          <w:tcPr>
            <w:tcW w:w="42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шифр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позиции сметного расчета (сметы) в ССР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подлежащая включению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подлежащая исключению</w:t>
            </w:r>
          </w:p>
        </w:tc>
        <w:tc>
          <w:tcPr>
            <w:tcW w:w="171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  <w:tc>
          <w:tcPr>
            <w:tcW w:w="211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</w:tr>
      <w:tr>
        <w:trPr/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</w:tr>
      <w:tr>
        <w:trPr/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</w:tr>
    </w:tbl>
    <w:p>
      <w:pPr>
        <w:pStyle w:val="Normal"/>
        <w:widowControl w:val="false"/>
        <w:spacing w:lineRule="auto" w:line="240" w:before="0" w:after="0"/>
        <w:contextualSpacing/>
        <w:jc w:val="both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357" w:firstLine="720"/>
        <w:contextualSpacing/>
        <w:jc w:val="right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  <w:r>
        <w:br w:type="page"/>
      </w:r>
    </w:p>
    <w:p>
      <w:pPr>
        <w:pStyle w:val="Normal"/>
        <w:spacing w:lineRule="auto" w:line="240" w:before="0" w:after="0"/>
        <w:ind w:left="357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№1.4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Требованиям к оформлению и составлению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выполнение работ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строительству и реконструкции объектов капитального строительства</w:t>
      </w:r>
    </w:p>
    <w:p>
      <w:pPr>
        <w:pStyle w:val="ConsPlusNormal1"/>
        <w:ind w:left="5811" w:firstLine="72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№___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дополнительному соглашению от ___ № ___</w:t>
      </w:r>
    </w:p>
    <w:p>
      <w:pPr>
        <w:pStyle w:val="ConsPlusNormal1"/>
        <w:ind w:left="5811" w:firstLine="72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к договору от_______№_____ 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  <w:t>Сопоставительная ведомость объемов работ</w:t>
      </w:r>
    </w:p>
    <w:p>
      <w:pPr>
        <w:pStyle w:val="ConsPlusNormal1"/>
        <w:jc w:val="center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</w:r>
    </w:p>
    <w:p>
      <w:pPr>
        <w:pStyle w:val="ConsPlusNormal1"/>
        <w:jc w:val="center"/>
        <w:rPr>
          <w:rFonts w:ascii="Times New Roman" w:hAnsi="Times New Roman" w:cs="Times New Roman"/>
          <w:b/>
          <w:color w:val="auto"/>
          <w:highlight w:val="none"/>
          <w:shd w:fill="auto" w:val="clear"/>
        </w:rPr>
      </w:pPr>
      <w:r>
        <w:rPr>
          <w:rFonts w:cs="Times New Roman" w:ascii="Times New Roman" w:hAnsi="Times New Roman"/>
          <w:b/>
          <w:color w:val="000000"/>
          <w:shd w:fill="auto" w:val="clear"/>
        </w:rPr>
      </w:r>
    </w:p>
    <w:p>
      <w:pPr>
        <w:pStyle w:val="ConsPlusNormal1"/>
        <w:jc w:val="both"/>
        <w:rPr>
          <w:b/>
          <w:color w:val="auto"/>
          <w:highlight w:val="none"/>
          <w:shd w:fill="auto" w:val="clear"/>
        </w:rPr>
      </w:pPr>
      <w:r>
        <w:rPr>
          <w:b/>
          <w:color w:val="000000"/>
          <w:shd w:fill="auto" w:val="clear"/>
        </w:rPr>
      </w:r>
    </w:p>
    <w:tbl>
      <w:tblPr>
        <w:tblW w:w="10773" w:type="dxa"/>
        <w:jc w:val="left"/>
        <w:tblInd w:w="20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</w:tblPr>
      <w:tblGrid>
        <w:gridCol w:w="425"/>
        <w:gridCol w:w="709"/>
        <w:gridCol w:w="851"/>
        <w:gridCol w:w="1208"/>
        <w:gridCol w:w="916"/>
        <w:gridCol w:w="850"/>
        <w:gridCol w:w="853"/>
        <w:gridCol w:w="851"/>
        <w:gridCol w:w="851"/>
        <w:gridCol w:w="706"/>
        <w:gridCol w:w="567"/>
        <w:gridCol w:w="850"/>
        <w:gridCol w:w="1135"/>
      </w:tblGrid>
      <w:tr>
        <w:trPr>
          <w:trHeight w:val="880" w:hRule="atLeast"/>
        </w:trPr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62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 xml:space="preserve">№№ </w:t>
            </w: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36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Данные сметного расчета (сметы)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Наименование работ и затрат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63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Ед. изм.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Объем работ в сметной документации</w:t>
            </w:r>
          </w:p>
        </w:tc>
        <w:tc>
          <w:tcPr>
            <w:tcW w:w="127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Изменение объемов работ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Обоснование изменений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1360" w:right="0" w:hanging="141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Примечание</w:t>
            </w:r>
          </w:p>
        </w:tc>
      </w:tr>
      <w:tr>
        <w:trPr>
          <w:trHeight w:val="62" w:hRule="atLeast"/>
        </w:trPr>
        <w:tc>
          <w:tcPr>
            <w:tcW w:w="42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797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шифр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64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Наименование</w:t>
            </w:r>
          </w:p>
        </w:tc>
        <w:tc>
          <w:tcPr>
            <w:tcW w:w="21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позиции в сметном расчете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702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273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</w:tr>
      <w:tr>
        <w:trPr>
          <w:trHeight w:val="1308" w:hRule="atLeast"/>
        </w:trPr>
        <w:tc>
          <w:tcPr>
            <w:tcW w:w="42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0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до изменений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 учетом изменений</w:t>
            </w:r>
          </w:p>
        </w:tc>
        <w:tc>
          <w:tcPr>
            <w:tcW w:w="8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firstLine="79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до изменений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 учетом изменений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800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увели</w:t>
            </w:r>
          </w:p>
          <w:p>
            <w:pPr>
              <w:pStyle w:val="ConsPlusNormal1"/>
              <w:widowControl w:val="false"/>
              <w:ind w:left="-800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чение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снижение</w:t>
            </w:r>
          </w:p>
        </w:tc>
        <w:tc>
          <w:tcPr>
            <w:tcW w:w="8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13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32" w:hRule="atLeast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</w:tr>
    </w:tbl>
    <w:p>
      <w:pPr>
        <w:sectPr>
          <w:footerReference w:type="default" r:id="rId11"/>
          <w:footerReference w:type="first" r:id="rId12"/>
          <w:type w:val="nextPage"/>
          <w:pgSz w:w="11906" w:h="16838"/>
          <w:pgMar w:left="426" w:right="924" w:gutter="0" w:header="0" w:top="284" w:footer="709" w:bottom="766"/>
          <w:pgNumType w:fmt="decimal"/>
          <w:formProt w:val="false"/>
          <w:textDirection w:val="lrTb"/>
          <w:docGrid w:type="default" w:linePitch="360" w:charSpace="0"/>
        </w:sectPr>
        <w:pStyle w:val="ConsPlusNormal1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</w:r>
    </w:p>
    <w:p>
      <w:pPr>
        <w:pStyle w:val="Normal"/>
        <w:spacing w:lineRule="auto" w:line="240" w:before="0" w:after="0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Приложение № 1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к Требованиям к оформлению и составлению сметной документации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на выполнение строительно-монтажных работ по строительству и реконструкции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>объектов капитального строительства</w:t>
      </w:r>
    </w:p>
    <w:p>
      <w:pPr>
        <w:pStyle w:val="Normal"/>
        <w:spacing w:lineRule="auto" w:line="240" w:before="0" w:after="0"/>
        <w:ind w:left="5811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0"/>
          <w:szCs w:val="20"/>
          <w:shd w:fill="auto" w:val="clear"/>
        </w:rPr>
        <w:t>ОБРАЗЕЦ (</w:t>
      </w:r>
      <w:r>
        <w:rPr>
          <w:rFonts w:ascii="Times New Roman" w:hAnsi="Times New Roman"/>
          <w:b/>
          <w:color w:val="000000"/>
          <w:sz w:val="20"/>
          <w:szCs w:val="20"/>
          <w:shd w:fill="auto" w:val="clear"/>
          <w:lang w:val="en-US"/>
        </w:rPr>
        <w:t>Р</w:t>
      </w:r>
      <w:r>
        <w:rPr>
          <w:rFonts w:ascii="Times New Roman" w:hAnsi="Times New Roman"/>
          <w:b/>
          <w:color w:val="000000"/>
          <w:sz w:val="20"/>
          <w:szCs w:val="20"/>
          <w:shd w:fill="auto" w:val="clear"/>
        </w:rPr>
        <w:t>ИМ)</w:t>
      </w:r>
    </w:p>
    <w:p>
      <w:pPr>
        <w:pStyle w:val="Normal"/>
        <w:spacing w:lineRule="auto" w:line="240" w:before="0" w:after="0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tbl>
      <w:tblPr>
        <w:tblW w:w="5000" w:type="pct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133"/>
        <w:gridCol w:w="1316"/>
        <w:gridCol w:w="692"/>
        <w:gridCol w:w="2815"/>
        <w:gridCol w:w="849"/>
        <w:gridCol w:w="1099"/>
        <w:gridCol w:w="665"/>
        <w:gridCol w:w="1042"/>
        <w:gridCol w:w="1083"/>
        <w:gridCol w:w="665"/>
        <w:gridCol w:w="1042"/>
        <w:gridCol w:w="506"/>
        <w:gridCol w:w="687"/>
        <w:gridCol w:w="2239"/>
      </w:tblGrid>
      <w:tr>
        <w:trPr>
          <w:trHeight w:val="285" w:hRule="atLeast"/>
        </w:trPr>
        <w:tc>
          <w:tcPr>
            <w:tcW w:w="314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  <w:t>СОГЛАСОВАНО:</w:t>
            </w:r>
          </w:p>
        </w:tc>
        <w:tc>
          <w:tcPr>
            <w:tcW w:w="281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474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  <w:t>УТВЕРЖДАЮ:</w:t>
            </w:r>
          </w:p>
        </w:tc>
      </w:tr>
      <w:tr>
        <w:trPr>
          <w:trHeight w:val="225" w:hRule="exact"/>
        </w:trPr>
        <w:tc>
          <w:tcPr>
            <w:tcW w:w="5956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139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45" w:hRule="atLeast"/>
        </w:trPr>
        <w:tc>
          <w:tcPr>
            <w:tcW w:w="1133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316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81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506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87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239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</w:tr>
      <w:tr>
        <w:trPr>
          <w:trHeight w:val="330" w:hRule="atLeast"/>
        </w:trPr>
        <w:tc>
          <w:tcPr>
            <w:tcW w:w="244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"_____" _____________202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г</w:t>
            </w:r>
          </w:p>
        </w:tc>
        <w:tc>
          <w:tcPr>
            <w:tcW w:w="69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81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0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87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3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"_____" ________202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г</w:t>
            </w:r>
          </w:p>
        </w:tc>
      </w:tr>
      <w:tr>
        <w:trPr>
          <w:trHeight w:val="225" w:hRule="atLeast"/>
        </w:trPr>
        <w:tc>
          <w:tcPr>
            <w:tcW w:w="314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Наименование редакции сметных нормативов  </w:t>
            </w:r>
          </w:p>
        </w:tc>
        <w:tc>
          <w:tcPr>
            <w:tcW w:w="12692" w:type="dxa"/>
            <w:gridSpan w:val="11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314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Наименование программного продукта</w:t>
            </w:r>
          </w:p>
        </w:tc>
        <w:tc>
          <w:tcPr>
            <w:tcW w:w="366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ПК "ГРАНД-Смета 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</w:t>
            </w:r>
          </w:p>
        </w:tc>
        <w:tc>
          <w:tcPr>
            <w:tcW w:w="1099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42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83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42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506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87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239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</w:tr>
      <w:tr>
        <w:trPr>
          <w:trHeight w:val="165" w:hRule="exact"/>
        </w:trPr>
        <w:tc>
          <w:tcPr>
            <w:tcW w:w="113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16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81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0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87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3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5833" w:type="dxa"/>
            <w:gridSpan w:val="14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color w:val="000000"/>
                <w:sz w:val="16"/>
                <w:szCs w:val="16"/>
                <w:shd w:fill="auto" w:val="clear"/>
              </w:rPr>
              <w:t>(наименование стройки)</w:t>
            </w:r>
          </w:p>
        </w:tc>
      </w:tr>
      <w:tr>
        <w:trPr>
          <w:trHeight w:val="225" w:hRule="exact"/>
        </w:trPr>
        <w:tc>
          <w:tcPr>
            <w:tcW w:w="15833" w:type="dxa"/>
            <w:gridSpan w:val="1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5833" w:type="dxa"/>
            <w:gridSpan w:val="14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color w:val="000000"/>
                <w:sz w:val="16"/>
                <w:szCs w:val="16"/>
                <w:shd w:fill="auto" w:val="clear"/>
              </w:rPr>
              <w:t>(наименование объекта капитального строительства)</w:t>
            </w:r>
          </w:p>
        </w:tc>
      </w:tr>
      <w:tr>
        <w:trPr>
          <w:trHeight w:val="480" w:hRule="atLeast"/>
        </w:trPr>
        <w:tc>
          <w:tcPr>
            <w:tcW w:w="15833" w:type="dxa"/>
            <w:gridSpan w:val="1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24"/>
                <w:szCs w:val="24"/>
                <w:shd w:fill="auto" w:val="clear"/>
              </w:rPr>
              <w:t xml:space="preserve">ЛОКАЛЬНЫЙ СМЕТНЫЙ РАСЧЕТ (СМЕТА) № </w:t>
            </w:r>
          </w:p>
        </w:tc>
      </w:tr>
    </w:tbl>
    <w:p>
      <w:pPr>
        <w:pStyle w:val="Normal"/>
        <w:spacing w:lineRule="auto" w:line="240" w:before="0" w:after="0"/>
        <w:ind w:left="6373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tbl>
      <w:tblPr>
        <w:tblW w:w="1600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020"/>
        <w:gridCol w:w="1349"/>
        <w:gridCol w:w="11"/>
        <w:gridCol w:w="858"/>
        <w:gridCol w:w="11"/>
        <w:gridCol w:w="683"/>
        <w:gridCol w:w="10"/>
        <w:gridCol w:w="811"/>
        <w:gridCol w:w="8"/>
        <w:gridCol w:w="595"/>
        <w:gridCol w:w="13"/>
        <w:gridCol w:w="891"/>
        <w:gridCol w:w="8"/>
        <w:gridCol w:w="96"/>
        <w:gridCol w:w="16"/>
        <w:gridCol w:w="143"/>
        <w:gridCol w:w="9"/>
        <w:gridCol w:w="652"/>
        <w:gridCol w:w="9"/>
        <w:gridCol w:w="333"/>
        <w:gridCol w:w="11"/>
        <w:gridCol w:w="792"/>
        <w:gridCol w:w="10"/>
        <w:gridCol w:w="177"/>
        <w:gridCol w:w="10"/>
        <w:gridCol w:w="1384"/>
        <w:gridCol w:w="10"/>
        <w:gridCol w:w="76"/>
        <w:gridCol w:w="1"/>
        <w:gridCol w:w="7"/>
        <w:gridCol w:w="951"/>
        <w:gridCol w:w="11"/>
        <w:gridCol w:w="109"/>
        <w:gridCol w:w="11"/>
        <w:gridCol w:w="584"/>
        <w:gridCol w:w="8"/>
        <w:gridCol w:w="435"/>
        <w:gridCol w:w="11"/>
        <w:gridCol w:w="642"/>
        <w:gridCol w:w="24"/>
        <w:gridCol w:w="125"/>
        <w:gridCol w:w="22"/>
        <w:gridCol w:w="808"/>
        <w:gridCol w:w="360"/>
        <w:gridCol w:w="843"/>
        <w:gridCol w:w="48"/>
        <w:gridCol w:w="1000"/>
      </w:tblGrid>
      <w:tr>
        <w:trPr>
          <w:trHeight w:val="300" w:hRule="atLeast"/>
        </w:trPr>
        <w:tc>
          <w:tcPr>
            <w:tcW w:w="14996" w:type="dxa"/>
            <w:gridSpan w:val="46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Волжская ГЭС. ОРУ 220 кВ. Релейная защита и автоматика.Демонтажные работы</w:t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4996" w:type="dxa"/>
            <w:gridSpan w:val="46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 xml:space="preserve"> </w:t>
            </w: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(наименование работ и затрат)</w:t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 xml:space="preserve">Составлен </w:t>
            </w:r>
          </w:p>
        </w:tc>
        <w:tc>
          <w:tcPr>
            <w:tcW w:w="1349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ресурсно-индексным</w:t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методом</w:t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Основание</w:t>
            </w:r>
          </w:p>
        </w:tc>
        <w:tc>
          <w:tcPr>
            <w:tcW w:w="5240" w:type="dxa"/>
            <w:gridSpan w:val="11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ЭТЛ-13622-ЛС.1.ВОР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7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9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1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240" w:type="dxa"/>
            <w:gridSpan w:val="11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(проектная и (или) иная техническая документация)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i/>
                <w:i/>
                <w:i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7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9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195" w:hRule="exac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5369" w:type="dxa"/>
            <w:gridSpan w:val="11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 xml:space="preserve">Составлен(а) в текущем уровне цен ,    2 кв. 2026 г.  </w:t>
            </w:r>
          </w:p>
        </w:tc>
        <w:tc>
          <w:tcPr>
            <w:tcW w:w="1011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b/>
                <w:b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</w:r>
          </w:p>
        </w:tc>
        <w:tc>
          <w:tcPr>
            <w:tcW w:w="81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33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6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1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11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15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95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507" w:type="dxa"/>
            <w:gridSpan w:val="4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2380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 xml:space="preserve">Сметная стоимость 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3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  <w:lang w:val="en-US"/>
              </w:rPr>
              <w:t>0.00</w:t>
            </w:r>
          </w:p>
        </w:tc>
        <w:tc>
          <w:tcPr>
            <w:tcW w:w="819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4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5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5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1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в том числе:</w:t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i/>
                <w:i/>
                <w:i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строительных работ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Средства на оплату труда рабочих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монтажных работ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  <w:lang w:val="en-US"/>
              </w:rPr>
              <w:t>0.00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Средства на оплату труда машинистов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оборудования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Нормативные затраты труда рабочих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чел.-ч.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прочих затрат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918" w:type="dxa"/>
            <w:gridSpan w:val="1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Нормативные затраты труда машинистов</w:t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чел.-ч.</w:t>
            </w:r>
          </w:p>
        </w:tc>
      </w:tr>
      <w:tr>
        <w:trPr>
          <w:trHeight w:val="195" w:hRule="exac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№ 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п/п</w:t>
            </w:r>
          </w:p>
        </w:tc>
        <w:tc>
          <w:tcPr>
            <w:tcW w:w="13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Обоснование</w:t>
            </w:r>
          </w:p>
        </w:tc>
        <w:tc>
          <w:tcPr>
            <w:tcW w:w="2987" w:type="dxa"/>
            <w:gridSpan w:val="8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Наименование работ и затрат</w:t>
            </w:r>
          </w:p>
        </w:tc>
        <w:tc>
          <w:tcPr>
            <w:tcW w:w="1008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Единица измерения</w:t>
            </w:r>
          </w:p>
        </w:tc>
        <w:tc>
          <w:tcPr>
            <w:tcW w:w="3546" w:type="dxa"/>
            <w:gridSpan w:val="1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Количество</w:t>
            </w:r>
          </w:p>
        </w:tc>
        <w:tc>
          <w:tcPr>
            <w:tcW w:w="5038" w:type="dxa"/>
            <w:gridSpan w:val="19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Сметная стоимость, руб.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02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987" w:type="dxa"/>
            <w:gridSpan w:val="8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008" w:type="dxa"/>
            <w:gridSpan w:val="4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3546" w:type="dxa"/>
            <w:gridSpan w:val="1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5038" w:type="dxa"/>
            <w:gridSpan w:val="19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73" w:hRule="atLeast"/>
        </w:trPr>
        <w:tc>
          <w:tcPr>
            <w:tcW w:w="102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987" w:type="dxa"/>
            <w:gridSpan w:val="8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008" w:type="dxa"/>
            <w:gridSpan w:val="4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20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.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изм</w:t>
            </w:r>
          </w:p>
        </w:tc>
        <w:tc>
          <w:tcPr>
            <w:tcW w:w="1332" w:type="dxa"/>
            <w:gridSpan w:val="6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коэффициенты</w:t>
            </w:r>
          </w:p>
        </w:tc>
        <w:tc>
          <w:tcPr>
            <w:tcW w:w="139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всего с учетом коэффициентов</w:t>
            </w:r>
          </w:p>
        </w:tc>
        <w:tc>
          <w:tcPr>
            <w:tcW w:w="1045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 изм в базисном уровне цен</w:t>
            </w:r>
          </w:p>
        </w:tc>
        <w:tc>
          <w:tcPr>
            <w:tcW w:w="715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индекс</w:t>
            </w:r>
          </w:p>
        </w:tc>
        <w:tc>
          <w:tcPr>
            <w:tcW w:w="1096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 изм в текущем уровне цен</w:t>
            </w:r>
          </w:p>
        </w:tc>
        <w:tc>
          <w:tcPr>
            <w:tcW w:w="1339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коэффициенты</w:t>
            </w:r>
          </w:p>
        </w:tc>
        <w:tc>
          <w:tcPr>
            <w:tcW w:w="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всего в текущем уровне цен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70" w:hRule="atLeast"/>
        </w:trPr>
        <w:tc>
          <w:tcPr>
            <w:tcW w:w="10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</w:t>
            </w:r>
          </w:p>
        </w:tc>
        <w:tc>
          <w:tcPr>
            <w:tcW w:w="134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2</w:t>
            </w:r>
          </w:p>
        </w:tc>
        <w:tc>
          <w:tcPr>
            <w:tcW w:w="2987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3</w:t>
            </w:r>
          </w:p>
        </w:tc>
        <w:tc>
          <w:tcPr>
            <w:tcW w:w="1008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4</w:t>
            </w:r>
          </w:p>
        </w:tc>
        <w:tc>
          <w:tcPr>
            <w:tcW w:w="820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5</w:t>
            </w:r>
          </w:p>
        </w:tc>
        <w:tc>
          <w:tcPr>
            <w:tcW w:w="1332" w:type="dxa"/>
            <w:gridSpan w:val="6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6</w:t>
            </w:r>
          </w:p>
        </w:tc>
        <w:tc>
          <w:tcPr>
            <w:tcW w:w="139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7</w:t>
            </w:r>
          </w:p>
        </w:tc>
        <w:tc>
          <w:tcPr>
            <w:tcW w:w="1045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8</w:t>
            </w:r>
          </w:p>
        </w:tc>
        <w:tc>
          <w:tcPr>
            <w:tcW w:w="715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9</w:t>
            </w:r>
          </w:p>
        </w:tc>
        <w:tc>
          <w:tcPr>
            <w:tcW w:w="1096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10</w:t>
            </w:r>
          </w:p>
        </w:tc>
        <w:tc>
          <w:tcPr>
            <w:tcW w:w="1339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11</w:t>
            </w:r>
          </w:p>
        </w:tc>
        <w:tc>
          <w:tcPr>
            <w:tcW w:w="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12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</w:tbl>
    <w:p>
      <w:pPr>
        <w:sectPr>
          <w:footerReference w:type="default" r:id="rId13"/>
          <w:footerReference w:type="first" r:id="rId14"/>
          <w:type w:val="nextPage"/>
          <w:pgSz w:orient="landscape" w:w="16838" w:h="11906"/>
          <w:pgMar w:left="720" w:right="284" w:gutter="0" w:header="0" w:top="426" w:footer="709" w:bottom="924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5811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Приложение№ 2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>к Требованиям к оформлению и составлению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сметной документации на работ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 </w:t>
      </w:r>
      <w:r>
        <w:rPr>
          <w:rFonts w:ascii="Times New Roman" w:hAnsi="Times New Roman"/>
          <w:color w:val="000000"/>
          <w:shd w:fill="auto" w:val="clear"/>
        </w:rPr>
        <w:t xml:space="preserve">по строительство и реконструкцию объектов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капитального строительства </w:t>
      </w:r>
      <w:r>
        <w:rPr>
          <w:b/>
          <w:bCs/>
          <w:color w:val="000000"/>
          <w:shd w:fill="auto" w:val="clear"/>
        </w:rPr>
        <w:t xml:space="preserve">     </w:t>
      </w:r>
    </w:p>
    <w:p>
      <w:pPr>
        <w:pStyle w:val="HEADERTEXT"/>
        <w:rPr>
          <w:b/>
          <w:bCs/>
          <w:color w:val="auto"/>
          <w:highlight w:val="none"/>
          <w:shd w:fill="auto" w:val="clear"/>
        </w:rPr>
      </w:pPr>
      <w:r>
        <w:rPr>
          <w:b/>
          <w:bCs/>
          <w:color w:val="000000"/>
          <w:shd w:fill="auto" w:val="clear"/>
        </w:rPr>
      </w:r>
    </w:p>
    <w:p>
      <w:pPr>
        <w:pStyle w:val="HEADERTEXT"/>
        <w:jc w:val="center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 xml:space="preserve"> </w:t>
      </w:r>
      <w:r>
        <w:rPr>
          <w:rFonts w:eastAsia="Times New Roman" w:ascii="Times New Roman" w:hAnsi="Times New Roman"/>
          <w:color w:val="000000"/>
          <w:shd w:fill="auto" w:val="clear"/>
        </w:rPr>
        <w:t xml:space="preserve">Конъюнктурный анализ </w:t>
      </w:r>
    </w:p>
    <w:tbl>
      <w:tblPr>
        <w:tblW w:w="9298" w:type="dxa"/>
        <w:jc w:val="left"/>
        <w:tblInd w:w="45" w:type="dxa"/>
        <w:tblLayout w:type="fixed"/>
        <w:tblCellMar>
          <w:top w:w="114" w:type="dxa"/>
          <w:left w:w="28" w:type="dxa"/>
          <w:bottom w:w="114" w:type="dxa"/>
          <w:right w:w="28" w:type="dxa"/>
        </w:tblCellMar>
      </w:tblPr>
      <w:tblGrid>
        <w:gridCol w:w="9298"/>
      </w:tblGrid>
      <w:tr>
        <w:trPr/>
        <w:tc>
          <w:tcPr>
            <w:tcW w:w="9298" w:type="dxa"/>
            <w:tcBorders>
              <w:bottom w:val="single" w:sz="6" w:space="0" w:color="000000"/>
            </w:tcBorders>
          </w:tcPr>
          <w:p>
            <w:pPr>
              <w:pStyle w:val="FORMATTEXT"/>
              <w:widowControl w:val="false"/>
              <w:rPr>
                <w:color w:val="auto"/>
                <w:sz w:val="12"/>
                <w:szCs w:val="12"/>
                <w:highlight w:val="none"/>
                <w:shd w:fill="auto" w:val="clear"/>
              </w:rPr>
            </w:pPr>
            <w:r>
              <w:rPr>
                <w:color w:val="000000"/>
                <w:sz w:val="12"/>
                <w:szCs w:val="12"/>
                <w:shd w:fill="auto" w:val="clear"/>
              </w:rPr>
            </w:r>
          </w:p>
        </w:tc>
      </w:tr>
      <w:tr>
        <w:trPr/>
        <w:tc>
          <w:tcPr>
            <w:tcW w:w="9298" w:type="dxa"/>
            <w:tcBorders>
              <w:top w:val="single" w:sz="6" w:space="0" w:color="000000"/>
            </w:tcBorders>
          </w:tcPr>
          <w:p>
            <w:pPr>
              <w:pStyle w:val="FORMAT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i/>
                <w:iCs/>
                <w:color w:val="000000"/>
                <w:sz w:val="18"/>
                <w:szCs w:val="18"/>
                <w:shd w:fill="auto" w:val="clear"/>
              </w:rPr>
              <w:t>(наименование объекта строительства)</w:t>
            </w:r>
          </w:p>
        </w:tc>
      </w:tr>
    </w:tbl>
    <w:p>
      <w:pPr>
        <w:pStyle w:val="Normal"/>
        <w:widowControl w:val="false"/>
        <w:spacing w:lineRule="auto" w:line="240" w:before="0" w:after="0"/>
        <w:rPr>
          <w:rFonts w:ascii="Arial, sans-serif" w:hAnsi="Arial, sans-serif"/>
          <w:color w:val="auto"/>
          <w:sz w:val="24"/>
          <w:szCs w:val="24"/>
          <w:highlight w:val="none"/>
          <w:shd w:fill="auto" w:val="clear"/>
        </w:rPr>
      </w:pPr>
      <w:r>
        <w:rPr>
          <w:rFonts w:ascii="Arial, sans-serif" w:hAnsi="Arial, sans-serif"/>
          <w:color w:val="000000"/>
          <w:sz w:val="24"/>
          <w:szCs w:val="24"/>
          <w:shd w:fill="auto" w:val="clear"/>
        </w:rPr>
      </w:r>
    </w:p>
    <w:tbl>
      <w:tblPr>
        <w:tblW w:w="14564" w:type="dxa"/>
        <w:jc w:val="left"/>
        <w:tblInd w:w="-6" w:type="dxa"/>
        <w:tblLayout w:type="fixed"/>
        <w:tblCellMar>
          <w:top w:w="113" w:type="dxa"/>
          <w:left w:w="28" w:type="dxa"/>
          <w:bottom w:w="113" w:type="dxa"/>
          <w:right w:w="28" w:type="dxa"/>
        </w:tblCellMar>
      </w:tblPr>
      <w:tblGrid>
        <w:gridCol w:w="531"/>
        <w:gridCol w:w="664"/>
        <w:gridCol w:w="781"/>
        <w:gridCol w:w="898"/>
        <w:gridCol w:w="465"/>
        <w:gridCol w:w="763"/>
        <w:gridCol w:w="878"/>
        <w:gridCol w:w="729"/>
        <w:gridCol w:w="742"/>
        <w:gridCol w:w="638"/>
        <w:gridCol w:w="710"/>
        <w:gridCol w:w="780"/>
        <w:gridCol w:w="527"/>
        <w:gridCol w:w="597"/>
        <w:gridCol w:w="911"/>
        <w:gridCol w:w="705"/>
        <w:gridCol w:w="681"/>
        <w:gridCol w:w="1077"/>
        <w:gridCol w:w="782"/>
        <w:gridCol w:w="701"/>
      </w:tblGrid>
      <w:tr>
        <w:trPr>
          <w:trHeight w:val="1105" w:hRule="atLeast"/>
        </w:trPr>
        <w:tc>
          <w:tcPr>
            <w:tcW w:w="53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N п/п</w:t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Код стро-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итель-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Наиме-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нование строи-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Полное наиме-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нование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Ед.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изм.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Ед. изм. стро-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итель-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Текущая отпуск-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ная цена</w:t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Теку-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щая отпуск-</w:t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Стои-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мость пере-</w:t>
            </w:r>
          </w:p>
        </w:tc>
        <w:tc>
          <w:tcPr>
            <w:tcW w:w="13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Заготовительно-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складские расходы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Сметная цена без НДС в</w:t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Год</w:t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Квар-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тал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Наименование произво-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дителя/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КПП орга-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низа-</w:t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ИНН орга-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низа-</w:t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Гипер-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ссылка на веб-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Насе-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ленный пункт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Статус органи-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зации</w:t>
            </w:r>
          </w:p>
        </w:tc>
      </w:tr>
      <w:tr>
        <w:trPr>
          <w:trHeight w:val="436" w:hRule="atLeast"/>
        </w:trPr>
        <w:tc>
          <w:tcPr>
            <w:tcW w:w="53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ного ресур-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са</w:t>
            </w:r>
          </w:p>
        </w:tc>
        <w:tc>
          <w:tcPr>
            <w:tcW w:w="78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тельного ресурса, затрат</w:t>
            </w:r>
          </w:p>
        </w:tc>
        <w:tc>
          <w:tcPr>
            <w:tcW w:w="898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строи-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тельного ресурса, затрат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документе</w:t>
            </w:r>
          </w:p>
        </w:tc>
        <w:tc>
          <w:tcPr>
            <w:tcW w:w="465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ного ресурса, затрат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менте</w:t>
            </w:r>
          </w:p>
        </w:tc>
        <w:tc>
          <w:tcPr>
            <w:tcW w:w="878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 ед.изм.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докумен-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 с НДС в руб.</w:t>
            </w:r>
          </w:p>
        </w:tc>
        <w:tc>
          <w:tcPr>
            <w:tcW w:w="729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ная цена за ед.изм. без НДС в руб. в соот-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ветст-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вии с графой 5</w:t>
            </w:r>
          </w:p>
        </w:tc>
        <w:tc>
          <w:tcPr>
            <w:tcW w:w="742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возки без НДС в руб. за ед.изм.</w:t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%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руб.</w:t>
            </w:r>
          </w:p>
        </w:tc>
        <w:tc>
          <w:tcPr>
            <w:tcW w:w="78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руб. за ед.изм.</w:t>
            </w:r>
          </w:p>
        </w:tc>
        <w:tc>
          <w:tcPr>
            <w:tcW w:w="52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поставщика</w:t>
            </w:r>
          </w:p>
        </w:tc>
        <w:tc>
          <w:tcPr>
            <w:tcW w:w="705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ции</w:t>
            </w:r>
          </w:p>
        </w:tc>
        <w:tc>
          <w:tcPr>
            <w:tcW w:w="68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ции</w:t>
            </w:r>
          </w:p>
        </w:tc>
        <w:tc>
          <w:tcPr>
            <w:tcW w:w="107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сайт 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теля/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щика</w:t>
            </w:r>
          </w:p>
        </w:tc>
        <w:tc>
          <w:tcPr>
            <w:tcW w:w="782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распо-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ложения склада 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теля/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щика</w:t>
            </w:r>
          </w:p>
        </w:tc>
        <w:tc>
          <w:tcPr>
            <w:tcW w:w="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(произ-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 (1)/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 (2)</w:t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</w:t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2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4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5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7</w:t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8</w:t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9</w:t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10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12</w:t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13</w:t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14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15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16</w:t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17</w:t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18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19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20</w:t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 1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 2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</w:tbl>
    <w:p>
      <w:pPr>
        <w:sectPr>
          <w:footerReference w:type="default" r:id="rId15"/>
          <w:footerReference w:type="first" r:id="rId16"/>
          <w:type w:val="nextPage"/>
          <w:pgSz w:orient="landscape" w:w="16838" w:h="11906"/>
          <w:pgMar w:left="1276" w:right="709" w:gutter="0" w:header="0" w:top="851" w:footer="709" w:bottom="766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284" w:right="0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284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widowControl w:val="false"/>
        <w:spacing w:lineRule="auto" w:line="240" w:before="0" w:after="0"/>
        <w:rPr>
          <w:rFonts w:ascii="Arial, sans-serif" w:hAnsi="Arial, sans-serif"/>
          <w:color w:val="auto"/>
          <w:sz w:val="24"/>
          <w:szCs w:val="24"/>
          <w:highlight w:val="none"/>
          <w:shd w:fill="auto" w:val="clear"/>
        </w:rPr>
      </w:pPr>
      <w:r>
        <w:rPr>
          <w:rFonts w:ascii="Arial, sans-serif" w:hAnsi="Arial, sans-serif"/>
          <w:color w:val="000000"/>
          <w:sz w:val="24"/>
          <w:szCs w:val="24"/>
          <w:shd w:fill="auto" w:val="clear"/>
        </w:rPr>
      </w:r>
    </w:p>
    <w:tbl>
      <w:tblPr>
        <w:tblW w:w="9450" w:type="dxa"/>
        <w:jc w:val="left"/>
        <w:tblInd w:w="28" w:type="dxa"/>
        <w:tblLayout w:type="fixed"/>
        <w:tblCellMar>
          <w:top w:w="114" w:type="dxa"/>
          <w:left w:w="28" w:type="dxa"/>
          <w:bottom w:w="114" w:type="dxa"/>
          <w:right w:w="28" w:type="dxa"/>
        </w:tblCellMar>
      </w:tblPr>
      <w:tblGrid>
        <w:gridCol w:w="1529"/>
        <w:gridCol w:w="7920"/>
      </w:tblGrid>
      <w:tr>
        <w:trPr/>
        <w:tc>
          <w:tcPr>
            <w:tcW w:w="152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, sans-serif" w:hAnsi="Arial, sans-serif"/>
                <w:color w:val="auto"/>
                <w:sz w:val="24"/>
                <w:szCs w:val="24"/>
                <w:highlight w:val="none"/>
                <w:shd w:fill="auto" w:val="clear"/>
              </w:rPr>
            </w:pPr>
            <w:r>
              <w:rPr>
                <w:rFonts w:ascii="Arial, sans-serif" w:hAnsi="Arial, sans-serif"/>
                <w:color w:val="000000"/>
                <w:sz w:val="24"/>
                <w:szCs w:val="24"/>
                <w:shd w:fill="auto" w:val="clear"/>
              </w:rPr>
            </w:r>
          </w:p>
        </w:tc>
        <w:tc>
          <w:tcPr>
            <w:tcW w:w="792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, sans-serif" w:hAnsi="Arial, sans-serif"/>
                <w:color w:val="auto"/>
                <w:sz w:val="24"/>
                <w:szCs w:val="24"/>
                <w:highlight w:val="none"/>
                <w:shd w:fill="auto" w:val="clear"/>
              </w:rPr>
            </w:pPr>
            <w:r>
              <w:rPr>
                <w:rFonts w:ascii="Arial, sans-serif" w:hAnsi="Arial, sans-serif"/>
                <w:color w:val="000000"/>
                <w:sz w:val="24"/>
                <w:szCs w:val="24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Составил</w:t>
            </w:r>
          </w:p>
        </w:tc>
        <w:tc>
          <w:tcPr>
            <w:tcW w:w="7920" w:type="dxa"/>
            <w:tcBorders>
              <w:bottom w:val="single" w:sz="6" w:space="0" w:color="000000"/>
            </w:tcBorders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920" w:type="dxa"/>
            <w:tcBorders>
              <w:top w:val="single" w:sz="6" w:space="0" w:color="000000"/>
            </w:tcBorders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[должность, подпись (инициалы, фамилия)]</w:t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Проверил</w:t>
            </w:r>
          </w:p>
        </w:tc>
        <w:tc>
          <w:tcPr>
            <w:tcW w:w="7920" w:type="dxa"/>
            <w:tcBorders>
              <w:bottom w:val="single" w:sz="6" w:space="0" w:color="000000"/>
            </w:tcBorders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920" w:type="dxa"/>
            <w:tcBorders>
              <w:top w:val="single" w:sz="6" w:space="0" w:color="000000"/>
            </w:tcBorders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[должность, подпись (инициалы, фамилия)]</w:t>
            </w:r>
          </w:p>
        </w:tc>
      </w:tr>
    </w:tbl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Примечание.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1. В графе 1 указывается номер, состоящих из двух групп цифр, разделенных точкой, первая группа цифр которого соответствует номеру ресурса по порядку, вторая - порядковому номеру обосновывающего документа, например, 1.1.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2. В графе 2 для каждой позиции материальных ресурсов и оборудования указывается код строительного ресурса в соответствии с пунктами 23 и 24 Методики.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3. Анализируются сопоставимые элементы стоимости материальных ресурсов (отпускные цены, сметные с учетом транспортных затрат), затрат.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4. В случае, если текущая отпускная цена за ед.изм. в обосновывающем документе указана с учетом доставки до приобъектного склада, то графа 9 не заполняется.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5. Данные граф 2, 4, 9-11,20 для прочих затрат заполняются при их наличии.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6. При отсутствии в обосновывающих стоимость материальных ресурсов, оборудования, работ и услуг документах производителей и (или) поставщиков сведений по графам 16-20 соответствующие графы формы конъюнктурного анализа заполняются на основании информации из открытых и (или) официальных источников.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sectPr>
          <w:footerReference w:type="default" r:id="rId17"/>
          <w:footerReference w:type="first" r:id="rId18"/>
          <w:type w:val="nextPage"/>
          <w:pgSz w:orient="landscape" w:w="16838" w:h="11906"/>
          <w:pgMar w:left="425" w:right="851" w:gutter="0" w:header="0" w:top="1276" w:footer="709" w:bottom="766"/>
          <w:pgNumType w:fmt="decimal"/>
          <w:formProt w:val="false"/>
          <w:textDirection w:val="lrTb"/>
          <w:docGrid w:type="default" w:linePitch="360" w:charSpace="0"/>
        </w:sect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7. При отсутствии у производителя (поставщика) веб-сайта графа 18 не заполняется.".</w:t>
      </w:r>
    </w:p>
    <w:p>
      <w:pPr>
        <w:pStyle w:val="Normal"/>
        <w:spacing w:lineRule="auto" w:line="240" w:before="0" w:after="0"/>
        <w:ind w:left="6373" w:right="2947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widowControl w:val="false"/>
        <w:tabs>
          <w:tab w:val="clear" w:pos="709"/>
          <w:tab w:val="left" w:pos="426" w:leader="none"/>
        </w:tabs>
        <w:spacing w:lineRule="auto" w:line="240" w:before="0" w:after="0"/>
        <w:jc w:val="right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Style w:val="Style15"/>
          <w:rFonts w:ascii="Times New Roman" w:hAnsi="Times New Roman"/>
          <w:iCs/>
          <w:shd w:fill="auto" w:val="clear"/>
        </w:rPr>
        <w:t>Приложение № 3</w:t>
      </w:r>
    </w:p>
    <w:p>
      <w:pPr>
        <w:pStyle w:val="Normal"/>
        <w:widowControl w:val="false"/>
        <w:pBdr>
          <w:bottom w:val="single" w:sz="4" w:space="1" w:color="000000"/>
        </w:pBdr>
        <w:tabs>
          <w:tab w:val="clear" w:pos="709"/>
          <w:tab w:val="left" w:pos="426" w:leader="none"/>
        </w:tabs>
        <w:spacing w:lineRule="auto" w:line="240" w:before="0" w:after="0"/>
        <w:jc w:val="right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Style w:val="Style15"/>
          <w:rFonts w:ascii="Times New Roman" w:hAnsi="Times New Roman"/>
          <w:iCs/>
          <w:shd w:fill="auto" w:val="clear"/>
        </w:rPr>
        <w:t xml:space="preserve">к Основным положениям </w:t>
        <w:br/>
        <w:t xml:space="preserve">по установлению требований к оформлению </w:t>
        <w:br/>
        <w:t xml:space="preserve">и составлению сметной документации </w:t>
      </w:r>
    </w:p>
    <w:p>
      <w:pPr>
        <w:pStyle w:val="Normal"/>
        <w:shd w:val="clear" w:color="auto" w:fill="FFFFFF" w:themeFill="background1"/>
        <w:tabs>
          <w:tab w:val="clear" w:pos="709"/>
          <w:tab w:val="left" w:pos="900" w:leader="none"/>
        </w:tabs>
        <w:spacing w:lineRule="auto" w:line="240" w:before="0" w:after="0"/>
        <w:ind w:firstLine="36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  <w:t>Требования к оформлению и составлению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  <w:t>сметной документации на выполнение проектных и изыскательских работ.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Настоящие требования разработаны для единого подхода к определению стоимости проектных и изыскательских работ (далее - ПИР).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Затраты на проведение инженерных изысканий, подготовку проектной и рабочей документации определяются расчетами на основании сметных нормативов, сведения о которых включены в ФРСН.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Сметы на ПИР составлять на основании технических требований (технического задания) заказчика, графиков производства работ, программы изысканий.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Сметный расчет стоимости изыскательских работ составляется в соответствии с </w:t>
      </w:r>
    </w:p>
    <w:p>
      <w:pPr>
        <w:pStyle w:val="ListParagraph"/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прилагаемой к сметному расчету программой изысканий. Программа изысканий составляется исполнителем на основе технического задания заказчика с учетом требований соответствующих нормативных документов, регламентирующих состав и объем изыскательских работ.</w:t>
      </w:r>
      <w:r>
        <w:rPr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sz w:val="24"/>
          <w:szCs w:val="24"/>
          <w:shd w:fill="auto" w:val="clear"/>
        </w:rPr>
        <w:t>По окончании изысканий составляется сметный расчет – исполнительная смета (необходимо предусмотреть условиями договора) на основе технического отчета по результатам изысканий в соответствии с составом и объемами фактически выполненных работ с учетом категории сложности их выполнения.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проектных работ на строительство, реконструкцию и техническое перевооружение объектов производственного назначения определяется на основе Справочников базовых цен на соответствующие работы, входящих в ФРСН, «Методических указаний по применению Справочников базовых цен на проектные работы в строительстве», утвержденных Приказом Министерства регионального развития РФ от 29.12.2009 № 620 (далее - Методика №620) и Методики определения стоимости работ по подготовке проектной документации, утвержденной Приказом Министерства строительства и жилищно-коммунального хозяйства РФ от 1 октября 2021 г. N 707/пр. (далее – Методика №707) не противоречащим положениям Методики №620 и Справочникам базовых цен (далее – СБЦ) на проектные работы в строительстве .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изыскательских работ определять на основе «Методического пособия по определению стоимости инженерных изысканий для строительства», утвержденного письмом Госстроя России от 31.03.2004 № НЗ-2078/10 и внесенного в ФРСН нормативов или иного актуального документа. 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определении стоимости изыскательских работ </w:t>
      </w:r>
      <w:r>
        <w:rPr>
          <w:rFonts w:ascii="Times New Roman" w:hAnsi="Times New Roman"/>
          <w:b/>
          <w:sz w:val="24"/>
          <w:szCs w:val="24"/>
          <w:shd w:fill="auto" w:val="clear"/>
        </w:rPr>
        <w:t>по согласованию с Заказчиком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возможно применять следующие коэффициенты в соответствии с письмом ПАО «ПНИИИС» от 03.04.2014 №11/298: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1,75 – «выполнение картографических работ с составлением планов (продольных профилей) в двух видах: на магнитном и бумажном носителях» (п. 15 е Общих указаний) - при наличии в технических требованиях указания о необходимости составления инженерно-топографических планов (продольных профилей) в двух видах (в электронном виде и на планшете на жесткой основе), либо при выявлении данных требований в процессе выполнения изысканий;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1,2 – «выполнение камеральных и картографических работ с применением компьютерных технологий» (п. 15 д Общих указаний) – применяется при условии, что топографические планы выполняются только в электронном виде (распечатка является вариантом электронной версии);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1,25 – «при выполнении полевых работ на территориях гидроэлектростанций» (п. 8 в Общих указаний) – на станциях Северного Кавказа и Амурской области;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1,15 – «при выполнении полевых работ на территориях гидроэлектростанций и ТЭЦ» (п. 8 в Общих указаний) – на всех гидроэлектростанциях и ТЭЦ, кроме станций Северного Кавказа и Амурской области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Применение расценки, предусмотренной § 4 таблицы 73 «Изготовление копии профиля на кальке с оригинала, вычерченного в карандаше» обоснованно, если такой вид работ в действительности выполнялся (был предусмотрен заданием и/или программой работ).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стоимости ПИР в сметных расчетах указывать полное наименование нормативного документа, на основании, которого составляется сметная документация с указанием всех реквизитов документа.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использовании в сметах коэффициентов (доплат, процентов и т.д.) в графе «Номер частей, глав, таблиц, процентов…» указывать обоснование из методических указаний, общих положений сборников или других нормативных документов и приложений к ним.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Проектная документация отдельных этапов строительства, реконструкции и различных видов объектов капитального строительства должна быть выполнена в соответствии с «Положением о составе разделов проектной документации и требованиях к их содержанию», утвержденным Постановлением Правительства РФ от 16.02.2008 №87.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Пересчет сметной стоимости проектных (изыскательских) работ по состоянию на 01.01.2001г, 01.01.1995г. (1991г.) следует производить согласно индексам на указанные (проектные или изыскательские) работы, рекомендованным к применению письмом соответствующего органа исполнительной власти, уполномоченного в области сметного нормирования и ценообразования в сфере градостроительной деятельности.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определении стоимости проектных работ от стоимости строительства по сборникам базовых цен на проектные работы для строительства, разработанным в уровне цен 2001 года необходимо руководствоваться пунктом 2.2 раздела </w:t>
      </w:r>
      <w:r>
        <w:rPr>
          <w:rFonts w:ascii="Times New Roman" w:hAnsi="Times New Roman"/>
          <w:sz w:val="24"/>
          <w:szCs w:val="24"/>
          <w:shd w:fill="auto" w:val="clear"/>
          <w:lang w:val="en-US"/>
        </w:rPr>
        <w:t>II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МУ. При определении стоимости проектных работ от стоимости строительства по сборникам базовых цен на проектные работы для строительства (изд. 1994-1999 гг.) стоимость строительства следует приводить к уровню цен по состоянию на 01.01.1991. Для пересчета стоимости строительно-монтажных работ и прочих затрат из уровня цен по состоянию на 01.01.2000 в уровень цен по состоянию 01.01.1991 и обратно использовать соответствующее отношение индексов пересчета из уровня цен 1991-го и 2000 года в уровень цен I квартала 2010 года, опубликованных в последней официальной публикации индексов Министерства регионального развития Российской Федерации к уровню цен 1991 года (письмо от 20 января 2010 г. № 1289-СК/08). При отсутствии разделения стоимости строительства на «Строительно-монтажные работы», «Оборудование» и «Прочие затраты» применяется индекс на строительно-монтажные работы».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составлении сметной документации на подготовку проектной документации рекомендуется дополнить Технические требования пунктом о составлении проектной организацией Ведомости объемов конструктивных решений (элементов) и комплексов (видов) работ, оборудования.</w:t>
      </w:r>
    </w:p>
    <w:p>
      <w:pPr>
        <w:pStyle w:val="ConsPlusNormal1"/>
        <w:widowControl/>
        <w:numPr>
          <w:ilvl w:val="0"/>
          <w:numId w:val="8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В сметных расчетах допускается использовать прогнозные индексы-дефляторы в соответствии с текущим прогнозом Министерства экономического развития РФ по строке ИПЦ (индекс потребительских цен), в среднем за год, вариант – базовый (указать реквизиты приказа при формировании ТТ) в размере … (указать размер применяемых индексов-дефляторов). </w:t>
      </w:r>
    </w:p>
    <w:p>
      <w:pPr>
        <w:pStyle w:val="ConsPlusNormal1"/>
        <w:widowControl/>
        <w:tabs>
          <w:tab w:val="clear" w:pos="709"/>
          <w:tab w:val="left" w:pos="1134" w:leader="none"/>
        </w:tabs>
        <w:spacing w:before="40" w:after="40"/>
        <w:ind w:left="567" w:hanging="0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Стоимость работ определяется по формуле: </w:t>
      </w:r>
    </w:p>
    <w:p>
      <w:pPr>
        <w:pStyle w:val="ConsPlusNormal1"/>
        <w:spacing w:before="40" w:after="40"/>
        <w:ind w:firstLine="1276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  </w:t>
      </w: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Цд</m:t>
        </m:r>
        <m:r>
          <w:rPr>
            <w:rFonts w:ascii="Cambria Math" w:hAnsi="Cambria Math"/>
          </w:rPr>
          <m:t xml:space="preserve">=</m:t>
        </m:r>
        <m:r>
          <w:rPr>
            <w:rFonts w:ascii="Cambria Math" w:hAnsi="Cambria Math"/>
          </w:rPr>
          <m:t xml:space="preserve">С</m:t>
        </m:r>
        <m:r>
          <w:rPr>
            <w:rFonts w:ascii="Cambria Math" w:hAnsi="Cambria Math"/>
          </w:rPr>
          <m:t xml:space="preserve">∗</m:t>
        </m:r>
        <m:r>
          <w:rPr>
            <w:rFonts w:ascii="Cambria Math" w:hAnsi="Cambria Math"/>
          </w:rPr>
          <m:t xml:space="preserve">Иинфл</m:t>
        </m:r>
        <m:d>
          <m:dPr>
            <m:begChr m:val="("/>
            <m:endChr m:val=")"/>
          </m:dPr>
          <m:e>
            <m:r>
              <w:rPr>
                <w:rFonts w:ascii="Cambria Math" w:hAnsi="Cambria Math"/>
              </w:rPr>
              <m:t xml:space="preserve">1</m:t>
            </m:r>
          </m:e>
        </m:d>
      </m:oMath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где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Цд – стоимость договора;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 - сметная стоимость подрядных работ, подлежащих выполнению подрядчиком; 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Иинф – индекс инфляции, рассчитываемый как среднее арифметическое значение между индексами прогнозной инфляции на даты начала и окончания работ. При расчете индекса прогнозной инфляции определение периода выполнения работ осуществляется исходя из продолжительности, установленной заказчиком в задании на выполнение проектных и изыскательских работ.</w:t>
      </w:r>
    </w:p>
    <w:p>
      <w:pPr>
        <w:pStyle w:val="ConsPlusNormal1"/>
        <w:spacing w:before="40" w:after="4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В случае, если срок выполнения работ превышает календарный год, то индекс инфляции определяется по формуле: </w:t>
      </w:r>
    </w:p>
    <w:p>
      <w:pPr>
        <w:pStyle w:val="ConsPlusNormal1"/>
        <w:widowControl/>
        <w:spacing w:before="40" w:after="40"/>
        <w:ind w:firstLine="426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r>
            <w:rPr>
              <w:rFonts w:ascii="Cambria Math" w:hAnsi="Cambria Math"/>
            </w:rPr>
            <m:t xml:space="preserve">И</m:t>
          </m:r>
          <m:r>
            <w:rPr>
              <w:rFonts w:ascii="Cambria Math" w:hAnsi="Cambria Math"/>
            </w:rPr>
            <m:t xml:space="preserve">инф</m:t>
          </m:r>
          <m:r>
            <w:rPr>
              <w:rFonts w:ascii="Cambria Math" w:hAnsi="Cambria Math"/>
            </w:rPr>
            <m:t xml:space="preserve">=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1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1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2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2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...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i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i</m:t>
          </m:r>
          <m:d>
            <m:dPr>
              <m:begChr m:val="("/>
              <m:endChr m:val=")"/>
            </m:dPr>
            <m:e>
              <m:r>
                <w:rPr>
                  <w:rFonts w:ascii="Cambria Math" w:hAnsi="Cambria Math"/>
                </w:rPr>
                <m:t xml:space="preserve">2</m:t>
              </m:r>
            </m:e>
          </m:d>
        </m:oMath>
      </m:oMathPara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где</w:t>
      </w:r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Д1,Д2,Д</w:t>
      </w:r>
      <w:r>
        <w:rPr>
          <w:color w:val="000000"/>
          <w:shd w:fill="auto" w:val="clear"/>
          <w:lang w:val="en-US"/>
        </w:rPr>
        <w:t>i</w:t>
      </w:r>
      <w:r>
        <w:rPr>
          <w:color w:val="000000"/>
          <w:shd w:fill="auto" w:val="clear"/>
        </w:rPr>
        <w:t xml:space="preserve"> - доля сметной стоимости работ, подлежащих выполнению соответственно в 1-й, 2-й, 3-й, i-ый годы строительства;</w:t>
      </w:r>
      <w:bookmarkStart w:id="36" w:name="l170"/>
      <w:bookmarkEnd w:id="36"/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i - год завершения строительства объекта;</w:t>
      </w:r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К1 - индекс прогнозной инфляции за первый год строительства объекта, определяемый как среднее арифметическое между индексом прогнозной инфляции на дату начала строительства объекта и индексом прогнозной инфляции на декабрь первого года строительства объекта;</w:t>
      </w:r>
      <w:bookmarkStart w:id="37" w:name="l38"/>
      <w:bookmarkEnd w:id="37"/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К2 - индекс прогнозной инфляции, учитывающий инфляцию за первый и второй годы строительства объекта. Рассчитывается как произведение индекса прогнозной инфляции, устанавливаемого нарастающим итогом на декабрь первого года строительства объекта, и индекса прогнозной инфляции на второй год строительства объекта, определенного как среднее арифметическое между индексом прогнозной инфляции на январь второго года строительства объекта и индекса прогнозной инфляции на декабрь второго года строительства объекта;</w:t>
      </w:r>
      <w:bookmarkStart w:id="38" w:name="l39"/>
      <w:bookmarkStart w:id="39" w:name="l171"/>
      <w:bookmarkEnd w:id="38"/>
      <w:bookmarkEnd w:id="39"/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К3 - индекс прогнозной инфляции, учитывающий инфляцию за весь период строительства объекта. Указанный индекс рассчитывается как произведение индекса прогнозной инфляции, устанавливаемого нарастающим итогом на декабрь предшествующего года строительства объекта, и индекса прогнозной инфляции на последний год строительства объекта, определенного как среднее арифметическое между индексом прогнозной инфляции на январь последнего года строительства объекта и индексом прогнозной инфляции на дату окончания строительства объекта в последнем году.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При этом: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1) если срок выполнения работ указан в целом по договору (дата начала работ – дата окончание работ), применяется единый дефлятор, в соответствии с формулой (1)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2) если договором предусмотрен график выполнения работ с разбивкой на этапы (дата начала работ по этапу – дата окончания работ по этапу), дефлятор применяется в соответствии с таким графиком, и рассчитывается на каждый этап, в соответствии с формулой (2).</w:t>
      </w:r>
    </w:p>
    <w:p>
      <w:pPr>
        <w:pStyle w:val="ConsPlusNormal1"/>
        <w:widowControl/>
        <w:spacing w:before="40" w:after="40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стоимости ПИР, затраты проектной организации, расположенной в районах, в которых, в соответствии с действующим законодательством производятся выплаты, обусловленные районным регулированием оплаты труда, в т.ч. выплаты по районным коэффициентам, а также надбавки за непрерывный стаж и других льгот, предусмотренных законодательством в районах Крайнего Севера и приравненных к ним местностям на основании: «Рекомендаций по определению коэффициента к базовым ценам на проектные работы, учитывающего дополнительные затраты организаций на льготные выплаты по заработной плате», одобренных и рекомендованных к применению письмом Госстроя России от 30.06.98 N 9-10-17/40 учитываются путем введения к итогу базовой цены повышающих коэффициентов. Размер примененных коэффициентов, доплат и т.д. указывать с обоснованиями из технической части, вводных указаний сборников или других нормативных документов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разработки раздела «Оценка воздействия на окружающую среду» принимается в размере не более 4% от общей стоимости проектных работ.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В случае отсутствия в сметных нормативах, сведения о которых включены в ФРСН, показателей и нормативов цены проектных работ, стоимость работ по подготовке проектной документации определяется в соответствии с положениями Методики №620, либо по нормативному акту, пришедшему на смену данному документу.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работ, цены на которые отсутствуют в МНЗ и СБЦ, внесенных в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ФРСН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, возможно определять сметным расчетом по себестоимости и сложившемуся уровню рентабельности (форма </w:t>
      </w:r>
      <w:hyperlink r:id="rId19">
        <w:r>
          <w:rPr>
            <w:rFonts w:ascii="Times New Roman" w:hAnsi="Times New Roman"/>
            <w:sz w:val="24"/>
            <w:szCs w:val="24"/>
            <w:shd w:fill="auto" w:val="clear"/>
          </w:rPr>
          <w:t>3п</w:t>
        </w:r>
      </w:hyperlink>
      <w:r>
        <w:rPr>
          <w:rFonts w:ascii="Times New Roman" w:hAnsi="Times New Roman"/>
          <w:sz w:val="24"/>
          <w:szCs w:val="24"/>
          <w:shd w:fill="auto" w:val="clear"/>
        </w:rPr>
        <w:t>) по согласованию с Заказчиком.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проведения государственной экспертизы проектных работ определяется согласно Постановлению Правительства РФ от 5 марта 2007 г. № 145 «О порядке организации и проведения государственной экспертизы проектной документации и результатов инженерных изысканий».</w:t>
      </w:r>
    </w:p>
    <w:p>
      <w:pPr>
        <w:pStyle w:val="ConsPlusNormal1"/>
        <w:widowControl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Сметы на ПИР предоставляются в форматах: «Excel» и «</w:t>
      </w:r>
      <w:r>
        <w:rPr>
          <w:rFonts w:cs="Times New Roman" w:ascii="Times New Roman" w:hAnsi="Times New Roman"/>
          <w:sz w:val="24"/>
          <w:szCs w:val="24"/>
          <w:shd w:fill="auto" w:val="clear"/>
          <w:lang w:val="en-US"/>
        </w:rPr>
        <w:t>pdf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» (с подписями и печатью). Сметная документация в формате «Exce</w:t>
      </w:r>
      <w:r>
        <w:rPr>
          <w:rFonts w:cs="Times New Roman" w:ascii="Times New Roman" w:hAnsi="Times New Roman"/>
          <w:sz w:val="24"/>
          <w:szCs w:val="24"/>
          <w:shd w:fill="auto" w:val="clear"/>
          <w:lang w:val="en-US"/>
        </w:rPr>
        <w:t>l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» должна быть представлена в одном файле с внесением ССРСС, ЛСР и других расчетов на отдельные листы (вкладки) документа.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Результаты вычислений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(построчные) 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и итоговые данные в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ЛСР (ЛС), приводятся в рублях,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базисно-индексном методе, с округлением до двух знаков после запятой (до копеек);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ресурсно-индексном и ресурсным методах, а также сметных расчетах на отдельные виды затрат - с округлением до целых единиц;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в сводной смете - в рублях с округлением до целых единиц. 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eastAsia="Geneva" w:cs="" w:ascii="Times New Roman" w:hAnsi="Times New Roman" w:cstheme="minorBidi"/>
          <w:sz w:val="24"/>
          <w:szCs w:val="24"/>
          <w:shd w:fill="auto" w:val="clear"/>
          <w:lang w:eastAsia="en-US"/>
        </w:rPr>
        <w:t xml:space="preserve">Командировочные расходы, учтенные в смете, подтверждаются отдельным расчетом. Лимиты командировочных расходов при производстве ПИР </w:t>
      </w:r>
      <w:r>
        <w:rPr>
          <w:rFonts w:cs="Times New Roman" w:ascii="Times New Roman" w:hAnsi="Times New Roman"/>
          <w:color w:val="000000"/>
          <w:sz w:val="24"/>
          <w:szCs w:val="24"/>
          <w:u w:val="single"/>
          <w:shd w:fill="auto" w:val="clear"/>
        </w:rPr>
        <w:t>не более</w:t>
      </w:r>
      <w:r>
        <w:rPr>
          <w:rFonts w:eastAsia="Geneva" w:cs="" w:ascii="Times New Roman" w:hAnsi="Times New Roman" w:cstheme="minorBidi"/>
          <w:sz w:val="24"/>
          <w:szCs w:val="24"/>
          <w:shd w:fill="auto" w:val="clear"/>
          <w:lang w:eastAsia="en-US"/>
        </w:rPr>
        <w:t>: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суточные - 700 руб./сутки;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проживание – 5000 руб./сутки;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проезд: поезд (купе) или самолет (класс–эконом с багажом до 20 (двадцати) кг, ручная кладь до 10 (десяти) кг).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одновременной разработке проектной и полной или частичной разработке рабочей документации, суммарный процент базовой цены определяется по согласованию между Заказчиком и Подрядчиком в зависимости от архитектурных, функционально-технологических, конструктивных и инженерно-технических решений, содержащихся в проектной документации и степени их детализации.</w:t>
      </w:r>
    </w:p>
    <w:p>
      <w:pPr>
        <w:sectPr>
          <w:footerReference w:type="default" r:id="rId20"/>
          <w:footerReference w:type="first" r:id="rId21"/>
          <w:type w:val="nextPage"/>
          <w:pgSz w:w="11906" w:h="16838"/>
          <w:pgMar w:left="1134" w:right="709" w:gutter="0" w:header="0" w:top="709" w:footer="709" w:bottom="766"/>
          <w:pgNumType w:fmt="decimal"/>
          <w:formProt w:val="false"/>
          <w:textDirection w:val="lrTb"/>
          <w:docGrid w:type="default" w:linePitch="360" w:charSpace="0"/>
        </w:sect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Выполнение обследований и обмерных работ на объектах, подлежащих реконструкции, расширению и техническому перевооружению рассчитывается по соответствующим Справочникам и относится 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главу 1 ССРСС.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Стоимость данных работ не включается в расчет стоимости проведения государственной экспертизы.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Приложение № 1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проектных и изыскательских работ</w:t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jc w:val="center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 xml:space="preserve">ПОЯСНИТЕЛЬНАЯ ЗАПИСКА 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>по заполнению формы №3п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>при составлении смет на ПИР.</w:t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b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bookmarkStart w:id="40" w:name="RANGE!A1%252525252525252525253AD25"/>
      <w:bookmarkEnd w:id="40"/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составлении калькуляции затрат (форма №3п), разработанным организацией, выполняющей ПИР, Заказчику предоставляется обоснование расчета. Сметные расчеты составляются в ценах текущего периода.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Калькуляцией затрат (форма №3п) рекомендуется определять стоимость работ, цены на которые отсутствуют в МНЗ и СБЦ, внесенных в ФРСН.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Стоимость работ и расходов в соответствии с калькуляцией затрат определяется согласно положениям Методики №707 с учетом следующего: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Стоимость проектных работ и расходов (</w:t>
      </w: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Спр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 в соответствии с калькуляцией затрат определяется по формуле:</w:t>
      </w:r>
    </w:p>
    <w:p>
      <w:pPr>
        <w:pStyle w:val="ConsPlusNormal1"/>
        <w:tabs>
          <w:tab w:val="clear" w:pos="709"/>
          <w:tab w:val="left" w:pos="0" w:leader="none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С</m:t>
              </m:r>
            </m:e>
            <m:sub>
              <m:r>
                <w:rPr>
                  <w:rFonts w:ascii="Cambria Math" w:hAnsi="Cambria Math"/>
                </w:rPr>
                <m:t xml:space="preserve">пр</m:t>
              </m:r>
            </m:sub>
          </m:sSub>
          <m:r>
            <w:rPr>
              <w:rFonts w:ascii="Cambria Math" w:hAnsi="Cambria Math"/>
            </w:rPr>
            <m:t xml:space="preserve">=</m:t>
          </m:r>
          <m:sSub>
            <m:e>
              <m:r>
                <w:rPr>
                  <w:rFonts w:ascii="Cambria Math" w:hAnsi="Cambria Math"/>
                </w:rPr>
                <m:t xml:space="preserve">В</m:t>
              </m:r>
            </m:e>
            <m:sub>
              <m:r>
                <w:rPr>
                  <w:rFonts w:ascii="Cambria Math" w:hAnsi="Cambria Math"/>
                </w:rPr>
                <m:t xml:space="preserve">ср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Т</m:t>
              </m:r>
            </m:e>
            <m:sub>
              <m:r>
                <w:rPr>
                  <w:rFonts w:ascii="Cambria Math" w:hAnsi="Cambria Math"/>
                </w:rPr>
                <m:t xml:space="preserve">п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Ч</m:t>
              </m:r>
            </m:e>
            <m:sub>
              <m:r>
                <w:rPr>
                  <w:rFonts w:ascii="Cambria Math" w:hAnsi="Cambria Math"/>
                </w:rPr>
                <m:t xml:space="preserve">общ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К</m:t>
              </m:r>
            </m:e>
            <m:sub>
              <m:r>
                <w:rPr>
                  <w:rFonts w:ascii="Cambria Math" w:hAnsi="Cambria Math"/>
                </w:rPr>
                <m:t xml:space="preserve">кв</m:t>
              </m:r>
              <m:r>
                <w:rPr>
                  <w:rFonts w:ascii="Cambria Math" w:hAnsi="Cambria Math"/>
                </w:rPr>
                <m:t xml:space="preserve">−</m:t>
              </m:r>
              <m:r>
                <w:rPr>
                  <w:rFonts w:ascii="Cambria Math" w:hAnsi="Cambria Math"/>
                </w:rPr>
                <m:t xml:space="preserve">уч</m:t>
              </m:r>
            </m:sub>
          </m:sSub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Спр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  <w:vertAlign w:val="subscript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стоимость проектных работ, определенная в соответствии с калькуляцией затрат, рублей;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Вср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среднедневная выработка одного непосредственного исполнителя, рублей;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Тп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плановая продолжительность выполнения проектных работ, предусмотренных калькуляцией затрат, дни;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Чобщ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общая численность непосредственных исполнителей-проектировщиков, занятых в выполнении проектных работ, предусмотренных калькуляцией затрат, чел.;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Ккв-уч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корректирующий коэффициент, учитывающий степень участия исполнителей различной квалификации в выполнении проектных работ, предусмотренных калькуляцией затрат (далее - коэффициент квалификации-участия);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среднедневная выработка (</w:t>
      </w: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В</m:t>
        </m:r>
        <m:r>
          <m:rPr>
            <m:lit/>
            <m:nor/>
          </m:rPr>
          <w:rPr>
            <w:rFonts w:ascii="Cambria Math" w:hAnsi="Cambria Math"/>
          </w:rPr>
          <m:t xml:space="preserve">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 определяется по формуле:</w:t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both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ConsPlusNormal1"/>
        <w:tabs>
          <w:tab w:val="clear" w:pos="709"/>
          <w:tab w:val="left" w:pos="0" w:leader="none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В</m:t>
              </m:r>
            </m:e>
            <m:sub>
              <m:r>
                <w:rPr>
                  <w:rFonts w:ascii="Cambria Math" w:hAnsi="Cambria Math"/>
                </w:rPr>
                <m:t xml:space="preserve">ср</m:t>
              </m:r>
            </m:sub>
          </m:sSub>
          <m:r>
            <w:rPr>
              <w:rFonts w:ascii="Cambria Math" w:hAnsi="Cambria Math"/>
            </w:rPr>
            <m:t xml:space="preserve">=</m:t>
          </m:r>
          <m:f>
            <m:num>
              <m:sSub>
                <m:e>
                  <m:r>
                    <w:rPr>
                      <w:rFonts w:ascii="Cambria Math" w:hAnsi="Cambria Math"/>
                    </w:rPr>
                    <m:t xml:space="preserve">ЗП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ср</m:t>
                  </m:r>
                </m:sub>
              </m:sSub>
              <m:r>
                <w:rPr>
                  <w:rFonts w:ascii="Cambria Math" w:hAnsi="Cambria Math"/>
                </w:rPr>
                <m:t xml:space="preserve">×</m:t>
              </m:r>
              <m:d>
                <m:dPr>
                  <m:begChr m:val="("/>
                  <m:endChr m:val=")"/>
                </m:dPr>
                <m:e>
                  <m:r>
                    <w:rPr>
                      <w:rFonts w:ascii="Cambria Math" w:hAnsi="Cambria Math"/>
                    </w:rPr>
                    <m:t xml:space="preserve">1</m:t>
                  </m:r>
                  <m:r>
                    <w:rPr>
                      <w:rFonts w:ascii="Cambria Math" w:hAnsi="Cambria Math"/>
                    </w:rPr>
                    <m:t xml:space="preserve">+</m:t>
                  </m:r>
                  <m:r>
                    <w:rPr>
                      <w:rFonts w:ascii="Cambria Math" w:hAnsi="Cambria Math"/>
                    </w:rPr>
                    <m:t xml:space="preserve">Р</m:t>
                  </m:r>
                </m:e>
              </m:d>
            </m:num>
            <m:den>
              <m:sSub>
                <m:e>
                  <m:r>
                    <w:rPr>
                      <w:rFonts w:ascii="Cambria Math" w:hAnsi="Cambria Math"/>
                    </w:rPr>
                    <m:t xml:space="preserve">К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з</m:t>
                  </m:r>
                </m:sub>
              </m:sSub>
            </m:den>
          </m:f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- коэффициент уровня рентабельности (сметной прибыли), принимается Р = 0,1 (1%) согласно </w:t>
      </w:r>
      <w:hyperlink w:anchor="P1643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таблице 1.2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>, приведенной в приложении N 2 к Методике №707;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ЗП</m:t>
        </m:r>
        <m:r>
          <m:rPr>
            <m:lit/>
            <m:nor/>
          </m:rPr>
          <w:rPr>
            <w:rFonts w:ascii="Cambria Math" w:hAnsi="Cambria Math"/>
          </w:rPr>
          <m:t xml:space="preserve">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среднедневная заработная плата, тыс. руб. Принимается по данным Росстата о среднемесячной номинальной начисленной заработной плате работающих в экономике, по видам экономической деятельности в Российской Федерации для деятельности в области архитектуры (</w:t>
      </w:r>
      <w:hyperlink r:id="rId22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код 71.11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согласно ОК 029-2014 (КДЕС ред. 2) "Общероссийский классификатор видов экономической деятельности" (далее - Общероссийский классификатор) за год, предшествующий году определения сметной стоимости объекта проектирования (среднее значение за период январь - декабрь), исходя из усредненного на основании производственного календаря количества рабочих дней в месяце для года, предшествующего году определения сметной стоимости проектных работ и с учетом Классификатора объектов административно-территориального деления (ОКАТО) Проектной организации. Для работ по проектированию объектов, являющихся особо опасными, технически сложными, уникальными объектами согласно </w:t>
      </w:r>
      <w:hyperlink r:id="rId23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статье 48.1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Градостроительного кодекса Российской Федерации, а также для работ по подготовке проектной документации, содержащей материалы в форме информационной модели, среднемесячная заработная плата принимается для деятельности в области инженерно-технического проектирования (</w:t>
      </w:r>
      <w:hyperlink r:id="rId24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код 71.12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согласно ОК 029-2014 (КДЕС ред. 2) Общероссийского классификатора)</w:t>
      </w:r>
      <w:r>
        <w:rPr>
          <w:rStyle w:val="FootnoteReference"/>
          <w:rFonts w:cs="Times New Roman" w:ascii="Times New Roman" w:hAnsi="Times New Roman"/>
          <w:sz w:val="24"/>
          <w:szCs w:val="24"/>
          <w:shd w:fill="auto" w:val="clear"/>
        </w:rPr>
        <w:footnoteReference w:id="2"/>
      </w:r>
      <w:r>
        <w:rPr>
          <w:rFonts w:cs="Times New Roman" w:ascii="Times New Roman" w:hAnsi="Times New Roman"/>
          <w:sz w:val="24"/>
          <w:szCs w:val="24"/>
          <w:shd w:fill="auto" w:val="clear"/>
        </w:rPr>
        <w:t>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К</m:t>
        </m:r>
        <m:r>
          <w:rPr>
            <w:rFonts w:ascii="Cambria Math" w:hAnsi="Cambria Math"/>
          </w:rPr>
          <m:t xml:space="preserve">з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коэффициент, учитывающий долю оплаты труда производственного персонала в себестоимости проектных работ: К3 принимается в размере 40,06%;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коэффициент, квалификации-участия (</w:t>
      </w: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К</m:t>
            </m:r>
          </m:e>
          <m:sub>
            <m:r>
              <w:rPr>
                <w:rFonts w:ascii="Cambria Math" w:hAnsi="Cambria Math"/>
              </w:rPr>
              <m:t xml:space="preserve">кв</m:t>
            </m:r>
            <m:r>
              <w:rPr>
                <w:rFonts w:ascii="Cambria Math" w:hAnsi="Cambria Math"/>
              </w:rPr>
              <m:t xml:space="preserve">−</m:t>
            </m:r>
            <m:r>
              <w:rPr>
                <w:rFonts w:ascii="Cambria Math" w:hAnsi="Cambria Math"/>
              </w:rPr>
              <m:t xml:space="preserve">уч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), определяется по формуле:</w:t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both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К</m:t>
              </m:r>
            </m:e>
            <m:sub>
              <m:r>
                <w:rPr>
                  <w:rFonts w:ascii="Cambria Math" w:hAnsi="Cambria Math"/>
                </w:rPr>
                <m:t xml:space="preserve">кв</m:t>
              </m:r>
              <m:r>
                <w:rPr>
                  <w:rFonts w:ascii="Cambria Math" w:hAnsi="Cambria Math"/>
                </w:rPr>
                <m:t xml:space="preserve">−</m:t>
              </m:r>
              <m:r>
                <w:rPr>
                  <w:rFonts w:ascii="Cambria Math" w:hAnsi="Cambria Math"/>
                </w:rPr>
                <m:t xml:space="preserve">уч</m:t>
              </m:r>
            </m:sub>
          </m:sSub>
          <m:r>
            <w:rPr>
              <w:rFonts w:ascii="Cambria Math" w:hAnsi="Cambria Math"/>
            </w:rPr>
            <m:t xml:space="preserve">=</m:t>
          </m:r>
          <m:f>
            <m:num>
              <m:nary>
                <m:naryPr>
                  <m:chr m:val="∑"/>
                </m:naryPr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  <m:r>
                    <w:rPr>
                      <w:rFonts w:ascii="Cambria Math" w:hAnsi="Cambria Math"/>
                    </w:rPr>
                    <m:t xml:space="preserve">=</m:t>
                  </m:r>
                  <m:r>
                    <w:rPr>
                      <w:rFonts w:ascii="Cambria Math" w:hAnsi="Cambria Math"/>
                    </w:rPr>
                    <m:t xml:space="preserve">1</m:t>
                  </m:r>
                </m:sub>
                <m:sup>
                  <m:r>
                    <w:rPr>
                      <w:rFonts w:ascii="Cambria Math" w:hAnsi="Cambria Math"/>
                    </w:rPr>
                    <m:t xml:space="preserve">n</m:t>
                  </m:r>
                </m:sup>
                <m:e>
                  <m:f>
                    <m:num>
                      <m:sSub>
                        <m:e>
                          <m:r>
                            <w:rPr>
                              <w:rFonts w:ascii="Cambria Math" w:hAnsi="Cambria Math"/>
                            </w:rPr>
                            <m:t xml:space="preserve"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ф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i</m:t>
                          </m:r>
                        </m:sub>
                      </m:sSub>
                    </m:num>
                    <m:den>
                      <m:sSub>
                        <m:e>
                          <m:r>
                            <w:rPr>
                              <w:rFonts w:ascii="Cambria Math" w:hAnsi="Cambria Math"/>
                            </w:rPr>
                            <m:t xml:space="preserve">Т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общ</m:t>
                          </m:r>
                        </m:sub>
                      </m:sSub>
                    </m:den>
                  </m:f>
                </m:e>
              </m:nary>
              <m:r>
                <w:rPr>
                  <w:rFonts w:ascii="Cambria Math" w:hAnsi="Cambria Math"/>
                </w:rPr>
                <m:t xml:space="preserve">×</m:t>
              </m:r>
              <m:sSub>
                <m:e>
                  <m:r>
                    <w:rPr>
                      <w:rFonts w:ascii="Cambria Math" w:hAnsi="Cambria Math"/>
                    </w:rPr>
                    <m:t xml:space="preserve">Ч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</m:sub>
              </m:sSub>
              <m:r>
                <w:rPr>
                  <w:rFonts w:ascii="Cambria Math" w:hAnsi="Cambria Math"/>
                </w:rPr>
                <m:t xml:space="preserve">×</m:t>
              </m:r>
              <m:sSub>
                <m:e>
                  <m:r>
                    <w:rPr>
                      <w:rFonts w:ascii="Cambria Math" w:hAnsi="Cambria Math"/>
                    </w:rPr>
                    <m:t xml:space="preserve">И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</m:sub>
              </m:sSub>
            </m:num>
            <m:den>
              <m:sSub>
                <m:e>
                  <m:r>
                    <w:rPr>
                      <w:rFonts w:ascii="Cambria Math" w:hAnsi="Cambria Math"/>
                    </w:rPr>
                    <m:t xml:space="preserve">Ч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общ</m:t>
                  </m:r>
                </m:sub>
              </m:sSub>
            </m:den>
          </m:f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И</m:t>
            </m:r>
          </m:e>
          <m:sub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- индекс квалификации непосредственных исполнителей согласно </w:t>
      </w:r>
      <w:hyperlink w:anchor="P1654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таблицам 1.3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- </w:t>
      </w:r>
      <w:hyperlink w:anchor="P1701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1.4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, приведенным в приложении N 2 к Методике №707. Для отдельных отраслей индексы, приведенные в </w:t>
      </w:r>
      <w:hyperlink w:anchor="P1654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таблицах 1.3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- </w:t>
      </w:r>
      <w:hyperlink w:anchor="P1701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1.4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приложения N 2 к Методике №707, подлежат уточнению при предоставлении соответствующих обоснований (бухгалтерских справок и аналогичных документов), документально подтвержденных уполномоченными лицами проектной организации;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Ч</m:t>
            </m:r>
          </m:e>
          <m:sub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численность исполнителей одинаковой квалификации, чел.;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T</m:t>
            </m:r>
          </m:e>
          <m:sub>
            <m:r>
              <w:rPr>
                <w:rFonts w:ascii="Cambria Math" w:hAnsi="Cambria Math"/>
              </w:rPr>
              <m:t xml:space="preserve">ф</m:t>
            </m:r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фактическое время работы исполнителей одинаковой квалификации, дни.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Численность и должностные категории (квалификация) исполнителей, фактическое время работы исполнителей одинаковой квалификации определяются на основании положений документов по стандартизации согласно </w:t>
      </w:r>
      <w:hyperlink r:id="rId25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статье 14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Федерального закона от 29 июня 2015 г. N 162-ФЗ "О стандартизации в Российской Федерации" (Собрание законодательства Российской Федерации, 2015, N 27, ст. 3953; 2021, N 1, ст. 62), стандартов процесса подготовки проектной документации согласно </w:t>
      </w:r>
      <w:hyperlink r:id="rId26">
        <w:r>
          <w:rPr>
            <w:rFonts w:cs="Times New Roman" w:ascii="Times New Roman" w:hAnsi="Times New Roman"/>
            <w:sz w:val="24"/>
            <w:szCs w:val="24"/>
            <w:shd w:fill="auto" w:val="clear"/>
          </w:rPr>
          <w:t>пункту 10 части 8 статьи 55.20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Градостроительного кодекса Российской Федерации (Собрание законодательства Российской Федерации, 2005, N 1, ст. 16; 2018, N 32, ст. 5133), норм проектирования, данных о трудоемкости объектов-аналогов, результатов опроса, проведенного среди не менее трех проектных организаций, специализирующихся на выполнение проектных работ, на которые подготавливается смета, таблиц технологического процесса выполнения проектных работ по объекту, продолжительности выполняемых работ, указанных в календарном плане к договору на выполнение проектных работ, данных о времени и количестве исполнителей определенной квалификации, принимающих участие в выполнении проектных работ, которые должны быть подписаны руководителем проектной организации, предоставляющей такие данные, и заверены ее печатью;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Для пересчета стоимости работ в текущий уровень цен применяются соответствующие индексы изменения сметной стоимости, выпущенные письмом Минстроя России, актуальным на момент составления сметной документации, с учетом периода выполнения работ.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i/>
          <w:sz w:val="24"/>
          <w:szCs w:val="24"/>
          <w:shd w:fill="auto" w:val="clear"/>
        </w:rPr>
        <w:t xml:space="preserve">Например, в 1 квартале 2025 года, стоимость проектных работ рассчитывается по калькуляции затрат в уровне цен по состоянию на 31.12.2024 и включается в смету на проектные работы с последующим применением соответствующих индексов изменения сметной стоимости на 1 квартал 2025 года к уровню цен по состоянию на 01.01.2025, сообщаемых письмом Минстроя России от 01.02.2025г. №5170-ИФ/09. </w:t>
      </w:r>
    </w:p>
    <w:p>
      <w:pPr>
        <w:pStyle w:val="ListParagraph"/>
        <w:numPr>
          <w:ilvl w:val="1"/>
          <w:numId w:val="12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Общий срок проектирования объекта в месяцах не должен превышать нормативные сроки установленные положениями Приказа Минстроя РФ от 15.05.2020г. № 264/пр «Об установлении срока, необходимого для выполнения инженерных изысканий, осуществления архитектурно-строительного проектирования и строительства зданий, сооружений, в целях расчета срока договора аренды земельного участка, находящегося в государственной или муниципальной собственности» которые устанавливают зависимость срока проектирования объекта в месяцах от его общей площади. </w:t>
      </w:r>
    </w:p>
    <w:p>
      <w:pPr>
        <w:pStyle w:val="Normal"/>
        <w:tabs>
          <w:tab w:val="clear" w:pos="709"/>
          <w:tab w:val="left" w:pos="1134" w:leader="none"/>
        </w:tabs>
        <w:spacing w:lineRule="auto" w:line="240"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Для объектов, сроки проектирования которых невозможно определить в соответствии с указанным Приказом, допустимо применение иных документов, не противоречащих действующему законодательству.</w:t>
      </w:r>
    </w:p>
    <w:p>
      <w:pPr>
        <w:pStyle w:val="ListParagraph"/>
        <w:numPr>
          <w:ilvl w:val="1"/>
          <w:numId w:val="12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проектных работ, определяемых в соответствии с калькуляцией затрат, не учитывает командировочные расходы, непосредственно связанные с проектированием объекта, определяемые дополнительно.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993" w:leader="none"/>
        </w:tabs>
        <w:spacing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Для обоснования командировочных расходов предоставляется отдельно выполненный расчет (форма 4п) с расшифровкой затрат на проезд, проживание, суточные расходы. Размер расходов на проезд и стоимость проживания в гостинице определяется на момент составления расчета.</w:t>
      </w:r>
    </w:p>
    <w:p>
      <w:pPr>
        <w:pStyle w:val="Normal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Размеры возмещения расходов, связанных со служебными командировками, определяются коллективным договором и/или локальным нормативным актом организации–исполнителя, но не выше нормативов возмещения расходов, связанных со служебными командировками, установленных локальным нормативным актом организации–заказчика.</w:t>
      </w:r>
    </w:p>
    <w:p>
      <w:pPr>
        <w:pStyle w:val="ConsPlusNormal1"/>
        <w:tabs>
          <w:tab w:val="clear" w:pos="709"/>
          <w:tab w:val="left" w:pos="284" w:leader="none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Лимиты командировочных расходов при производстве ПИР не более: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суточные - 700 руб./сутки;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проживание – 5000 руб./сутки;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проезд: поезд (купе) или самолет (класс–эконом с багажом до 20 (двадцати) кг, ручная кладь до 10 (десяти) кг).</w:t>
      </w:r>
    </w:p>
    <w:p>
      <w:pPr>
        <w:pStyle w:val="ListParagraph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учете командировочных расходов стоимость проезда (авиа-, ж/д, …) и проживания определяются по наиболее экономичному варианту, определенному на основании сбора информации о текущих ценах (далее - конъюнктурный анализ) в соответствии с Приложением № 3 к Требованиям к оформлению и составлению сметной документации на работы по строительству.  </w:t>
      </w:r>
    </w:p>
    <w:p>
      <w:pPr>
        <w:sectPr>
          <w:footerReference w:type="default" r:id="rId27"/>
          <w:footerReference w:type="first" r:id="rId28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ListParagraph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наличии командированных расходов необходимо составлять общий реестр стоимости проездных билетов с разбивкой по сметам, к которым они относятся.</w:t>
      </w:r>
    </w:p>
    <w:p>
      <w:pPr>
        <w:pStyle w:val="Normal"/>
        <w:spacing w:lineRule="auto" w:line="240" w:before="0" w:after="0"/>
        <w:ind w:left="5811" w:right="-2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Приложение № 2</w:t>
      </w:r>
    </w:p>
    <w:p>
      <w:pPr>
        <w:pStyle w:val="Normal"/>
        <w:spacing w:lineRule="auto" w:line="240" w:before="0" w:after="0"/>
        <w:ind w:left="5811" w:right="-2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ПИР</w:t>
      </w:r>
    </w:p>
    <w:p>
      <w:pPr>
        <w:pStyle w:val="Normal"/>
        <w:shd w:val="clear" w:color="auto" w:fill="FFFFFF"/>
        <w:spacing w:lineRule="auto" w:line="240" w:before="0" w:after="0"/>
        <w:ind w:left="720" w:firstLine="284"/>
        <w:contextualSpacing/>
        <w:jc w:val="center"/>
        <w:rPr>
          <w:rFonts w:ascii="Times New Roman" w:hAnsi="Times New Roman"/>
          <w:b/>
          <w:bCs/>
          <w:iCs/>
          <w:spacing w:val="-4"/>
          <w:highlight w:val="none"/>
          <w:shd w:fill="auto" w:val="clear"/>
        </w:rPr>
      </w:pPr>
      <w:r>
        <w:rPr>
          <w:rFonts w:ascii="Times New Roman" w:hAnsi="Times New Roman"/>
          <w:b/>
          <w:bCs/>
          <w:iCs/>
          <w:spacing w:val="-4"/>
          <w:shd w:fill="auto" w:val="clear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9356"/>
      </w:tblGrid>
      <w:tr>
        <w:trPr/>
        <w:tc>
          <w:tcPr>
            <w:tcW w:w="935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Образец сметы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 основные и дополнительные проектные работы,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а также сопутствующие работы (форма 2п)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СМЕТА №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 проектные работы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__________________________________________________________________________________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объекта)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Заказчик ________________________________________________________________________________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организации)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Проектная организация 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организации)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Составлена в уровне цен на ___________ 20__ г.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tbl>
            <w:tblPr>
              <w:tblW w:w="9521" w:type="dxa"/>
              <w:jc w:val="left"/>
              <w:tblInd w:w="0" w:type="dxa"/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 w:noVBand="1" w:noHBand="0" w:lastColumn="0" w:firstColumn="1" w:lastRow="0" w:firstRow="1"/>
            </w:tblPr>
            <w:tblGrid>
              <w:gridCol w:w="454"/>
              <w:gridCol w:w="1811"/>
              <w:gridCol w:w="3419"/>
              <w:gridCol w:w="1988"/>
              <w:gridCol w:w="1849"/>
            </w:tblGrid>
            <w:tr>
              <w:trPr/>
              <w:tc>
                <w:tcPr>
                  <w:tcW w:w="45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N пп</w:t>
                  </w:r>
                </w:p>
              </w:tc>
              <w:tc>
                <w:tcPr>
                  <w:tcW w:w="1811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Наименование объекта проектирования или вида проектных работ</w:t>
                  </w:r>
                </w:p>
              </w:tc>
              <w:tc>
                <w:tcPr>
                  <w:tcW w:w="3419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Наименование, номера глав, таблиц, параграфов и пунктов МНЗ (СБЦ) на проектные работы</w:t>
                  </w:r>
                </w:p>
              </w:tc>
              <w:tc>
                <w:tcPr>
                  <w:tcW w:w="1988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Расчет стоимости</w:t>
                  </w:r>
                </w:p>
              </w:tc>
              <w:tc>
                <w:tcPr>
                  <w:tcW w:w="1849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Сметная стоимость, руб.</w:t>
                  </w:r>
                </w:p>
              </w:tc>
            </w:tr>
            <w:tr>
              <w:trPr>
                <w:trHeight w:val="255" w:hRule="atLeast"/>
              </w:trPr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1</w:t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1" w:name="P3725"/>
                  <w:bookmarkEnd w:id="41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2</w:t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2" w:name="P3726"/>
                  <w:bookmarkEnd w:id="42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3</w:t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3" w:name="P3727"/>
                  <w:bookmarkEnd w:id="43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4</w:t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4" w:name="P3728"/>
                  <w:bookmarkEnd w:id="44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5</w:t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>
                <w:trHeight w:val="300" w:hRule="atLeast"/>
              </w:trPr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5230" w:type="dxa"/>
                  <w:gridSpan w:val="2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Итого без учета НДС</w:t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</w:tbl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 w:eastAsia="Calibri" w:eastAsiaTheme="minorHAnsi"/>
                <w:highlight w:val="none"/>
                <w:shd w:fill="auto" w:val="clear"/>
                <w:lang w:eastAsia="en-US"/>
              </w:rPr>
            </w:pPr>
            <w:r>
              <w:rPr>
                <w:rFonts w:eastAsia="Calibri" w:eastAsiaTheme="minorHAnsi" w:ascii="Times New Roman" w:hAnsi="Times New Roman"/>
                <w:shd w:fill="auto" w:val="clear"/>
                <w:lang w:eastAsia="en-US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Руководитель проектной организации 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Главный инженер проекта 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i/>
                <w:i/>
                <w:iCs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Начальник ___________________ отдела 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                             </w:t>
            </w: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(наименование)                            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i/>
                <w:i/>
                <w:iCs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Заказчик 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bookmarkStart w:id="45" w:name="_Hlk149126469"/>
            <w:r>
              <w:rPr>
                <w:rFonts w:ascii="Times New Roman" w:hAnsi="Times New Roman"/>
                <w:i/>
                <w:iCs/>
                <w:shd w:fill="auto" w:val="clear"/>
              </w:rPr>
              <w:t>[должность, подпись (инициалы, фамилия)]</w:t>
            </w:r>
            <w:bookmarkEnd w:id="45"/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</w:tr>
    </w:tbl>
    <w:p>
      <w:pPr>
        <w:sectPr>
          <w:footerReference w:type="default" r:id="rId29"/>
          <w:footerReference w:type="first" r:id="rId30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100" w:charSpace="0"/>
        </w:sectPr>
      </w:pPr>
    </w:p>
    <w:p>
      <w:pPr>
        <w:pStyle w:val="Normal"/>
        <w:spacing w:lineRule="auto" w:line="240" w:before="0" w:after="0"/>
        <w:ind w:left="5811" w:hanging="0"/>
        <w:contextualSpacing/>
        <w:rPr>
          <w:highlight w:val="none"/>
          <w:shd w:fill="auto" w:val="clear"/>
        </w:rPr>
      </w:pPr>
      <w:bookmarkStart w:id="46" w:name="P3839"/>
      <w:bookmarkStart w:id="47" w:name="P3838"/>
      <w:bookmarkStart w:id="48" w:name="P3837"/>
      <w:bookmarkStart w:id="49" w:name="P3836"/>
      <w:bookmarkStart w:id="50" w:name="P3835"/>
      <w:bookmarkStart w:id="51" w:name="P3834"/>
      <w:bookmarkStart w:id="52" w:name="P3833"/>
      <w:bookmarkStart w:id="53" w:name="P3832"/>
      <w:bookmarkStart w:id="54" w:name="P3831"/>
      <w:bookmarkStart w:id="55" w:name="P3816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>
        <w:rPr>
          <w:rFonts w:ascii="Times New Roman" w:hAnsi="Times New Roman"/>
          <w:sz w:val="20"/>
          <w:shd w:fill="auto" w:val="clear"/>
        </w:rPr>
        <w:t>Приложение № 3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ПИР</w:t>
      </w:r>
    </w:p>
    <w:tbl>
      <w:tblPr>
        <w:tblW w:w="14853" w:type="dxa"/>
        <w:jc w:val="left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9229"/>
        <w:gridCol w:w="238"/>
        <w:gridCol w:w="2186"/>
        <w:gridCol w:w="1095"/>
        <w:gridCol w:w="306"/>
        <w:gridCol w:w="215"/>
        <w:gridCol w:w="1583"/>
      </w:tblGrid>
      <w:tr>
        <w:trPr>
          <w:trHeight w:val="20" w:hRule="atLeast"/>
        </w:trPr>
        <w:tc>
          <w:tcPr>
            <w:tcW w:w="922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                                                </w:t>
            </w:r>
            <w:r>
              <w:rPr>
                <w:rFonts w:ascii="Times New Roman" w:hAnsi="Times New Roman"/>
                <w:shd w:fill="auto" w:val="clear"/>
              </w:rPr>
              <w:t xml:space="preserve">к Договору    от___ ______202___  №_________ 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СОГЛАСОВАНО:                                                                                   УТВЕРЖДЕНО:                                                                                                                                                                </w:t>
            </w:r>
          </w:p>
        </w:tc>
        <w:tc>
          <w:tcPr>
            <w:tcW w:w="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</w:t>
            </w:r>
          </w:p>
        </w:tc>
        <w:tc>
          <w:tcPr>
            <w:tcW w:w="2186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              </w:t>
            </w:r>
          </w:p>
        </w:tc>
        <w:tc>
          <w:tcPr>
            <w:tcW w:w="1401" w:type="dxa"/>
            <w:gridSpan w:val="2"/>
            <w:tcBorders/>
            <w:shd w:color="auto" w:fill="FFFFFF" w:val="clear"/>
          </w:tcPr>
          <w:p>
            <w:pPr>
              <w:pStyle w:val="Normal"/>
              <w:widowControl w:val="false"/>
              <w:tabs>
                <w:tab w:val="clear" w:pos="709"/>
                <w:tab w:val="left" w:pos="627" w:leader="none"/>
              </w:tabs>
              <w:spacing w:lineRule="auto" w:line="240" w:before="0" w:after="0"/>
              <w:ind w:left="-526" w:hanging="1332"/>
              <w:jc w:val="right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215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583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70" w:hRule="atLeast"/>
        </w:trPr>
        <w:tc>
          <w:tcPr>
            <w:tcW w:w="922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328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521" w:type="dxa"/>
            <w:gridSpan w:val="2"/>
            <w:tcBorders/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1583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/>
        <w:tc>
          <w:tcPr>
            <w:tcW w:w="11653" w:type="dxa"/>
            <w:gridSpan w:val="3"/>
            <w:tcBorders/>
          </w:tcPr>
          <w:tbl>
            <w:tblPr>
              <w:tblW w:w="9575" w:type="dxa"/>
              <w:jc w:val="left"/>
              <w:tblInd w:w="0" w:type="dxa"/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 w:noVBand="0" w:noHBand="0" w:lastColumn="0" w:firstColumn="0" w:lastRow="0" w:firstRow="0"/>
            </w:tblPr>
            <w:tblGrid>
              <w:gridCol w:w="968"/>
              <w:gridCol w:w="2704"/>
              <w:gridCol w:w="1780"/>
              <w:gridCol w:w="2047"/>
              <w:gridCol w:w="2076"/>
            </w:tblGrid>
            <w:tr>
              <w:trPr/>
              <w:tc>
                <w:tcPr>
                  <w:tcW w:w="9575" w:type="dxa"/>
                  <w:gridSpan w:val="5"/>
                  <w:tcBorders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СВОДНАЯ СМЕТА №</w:t>
                  </w:r>
                </w:p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 проектные работы и инженерные изыскания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_________________________________________________________________________________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объекта)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Заказчик ___________________________________________________________________________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организации)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Проектная организация 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организации)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Составлена в уровне цен на ___________ 20__ г.</w:t>
                  </w:r>
                </w:p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365" w:hRule="atLeast"/>
              </w:trPr>
              <w:tc>
                <w:tcPr>
                  <w:tcW w:w="96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N№ п/п</w:t>
                  </w:r>
                </w:p>
              </w:tc>
              <w:tc>
                <w:tcPr>
                  <w:tcW w:w="270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 на проектные работы и инженерные изыскания, затрат</w:t>
                  </w:r>
                </w:p>
              </w:tc>
              <w:tc>
                <w:tcPr>
                  <w:tcW w:w="178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Обоснование</w:t>
                  </w:r>
                </w:p>
              </w:tc>
              <w:tc>
                <w:tcPr>
                  <w:tcW w:w="4123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Сметная стоимость, руб.</w:t>
                  </w:r>
                </w:p>
              </w:tc>
            </w:tr>
            <w:tr>
              <w:trPr>
                <w:trHeight w:val="74" w:hRule="atLeast"/>
              </w:trPr>
              <w:tc>
                <w:tcPr>
                  <w:tcW w:w="968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jc w:val="center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1780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инженерных изысканий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проектных работ</w:t>
                  </w:r>
                </w:p>
              </w:tc>
            </w:tr>
            <w:tr>
              <w:trPr>
                <w:trHeight w:val="19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1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2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firstLine="2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3</w:t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4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5</w:t>
                  </w:r>
                </w:p>
              </w:tc>
            </w:tr>
            <w:tr>
              <w:trPr>
                <w:trHeight w:val="274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Инженерные изыскания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493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инженерные изыскания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281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Проектная документация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проектные работы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>
                <w:trHeight w:val="323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III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Рабочая документация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проектные работы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Итого по видам работ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ВСЕГО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4123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</w:tbl>
          <w:p>
            <w:pPr>
              <w:pStyle w:val="ConsPlusNormal1"/>
              <w:widowControl w:val="false"/>
              <w:ind w:right="-5522" w:firstLine="720"/>
              <w:rPr>
                <w:rFonts w:ascii="Times New Roman" w:hAnsi="Times New Roman" w:cs="Times New Roman"/>
                <w:sz w:val="22"/>
                <w:szCs w:val="22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shd w:fill="auto" w:val="clear"/>
              </w:rPr>
            </w:r>
          </w:p>
        </w:tc>
        <w:tc>
          <w:tcPr>
            <w:tcW w:w="3199" w:type="dxa"/>
            <w:gridSpan w:val="4"/>
            <w:tcBorders/>
          </w:tcPr>
          <w:p>
            <w:pPr>
              <w:pStyle w:val="ConsPlusNormal1"/>
              <w:widowControl w:val="false"/>
              <w:jc w:val="center"/>
              <w:rPr>
                <w:rFonts w:ascii="Times New Roman" w:hAnsi="Times New Roman" w:cs="Times New Roman"/>
                <w:sz w:val="22"/>
                <w:szCs w:val="22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shd w:fill="auto" w:val="clear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 проектной организации 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 проекта 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Начальник ___________________ отдела __________________________________________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                             </w:t>
      </w:r>
      <w:r>
        <w:rPr>
          <w:rFonts w:ascii="Times New Roman" w:hAnsi="Times New Roman"/>
          <w:i/>
          <w:iCs/>
          <w:shd w:fill="auto" w:val="clear"/>
        </w:rPr>
        <w:t>(наименование)                            [подпись (инициалы, фамилия)]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Заказчик _____________________________________________________________________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[должность, подпись (инициалы, фамилия)]</w:t>
      </w:r>
    </w:p>
    <w:p>
      <w:pPr>
        <w:pStyle w:val="Normal"/>
        <w:spacing w:lineRule="auto" w:line="240" w:before="0" w:after="0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  <w:r>
        <w:br w:type="page"/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№1</w:t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пояснительной записке</w:t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заполнению формы 3П</w:t>
      </w:r>
    </w:p>
    <w:p>
      <w:pPr>
        <w:pStyle w:val="Normal"/>
        <w:spacing w:lineRule="auto" w:line="240" w:before="0" w:after="0"/>
        <w:ind w:left="6373" w:hanging="0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Образец сметы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проектные работы в соответствии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 калькуляцией затрат (форма 3п)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СМЕТА №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проектные работы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246" w:firstLine="1134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объекта)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42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Заказчик ________________________________________________________________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организации)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246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Проектная организация 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организации)</w:t>
      </w:r>
    </w:p>
    <w:p>
      <w:pPr>
        <w:pStyle w:val="Normal"/>
        <w:spacing w:lineRule="auto" w:line="240" w:before="0" w:after="0"/>
        <w:ind w:right="1246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Составлена в уровне цен на ___________ 20__ г.</w:t>
      </w:r>
    </w:p>
    <w:p>
      <w:pPr>
        <w:pStyle w:val="ConsPlusNonformat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p>
      <w:pPr>
        <w:pStyle w:val="ConsPlusNonformat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Расчет коэффициента, учитывающего степень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участия исполнителей-проектировщиков различной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квалификации в выполнении проектных работ (Ккв-уч)</w:t>
      </w:r>
    </w:p>
    <w:tbl>
      <w:tblPr>
        <w:tblW w:w="10055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557"/>
        <w:gridCol w:w="1407"/>
        <w:gridCol w:w="1570"/>
        <w:gridCol w:w="1985"/>
        <w:gridCol w:w="1559"/>
        <w:gridCol w:w="1418"/>
        <w:gridCol w:w="1558"/>
      </w:tblGrid>
      <w:tr>
        <w:trPr/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N п/п</w:t>
            </w:r>
          </w:p>
        </w:tc>
        <w:tc>
          <w:tcPr>
            <w:tcW w:w="140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Наименование должностей исполнителей</w:t>
            </w:r>
          </w:p>
        </w:tc>
        <w:tc>
          <w:tcPr>
            <w:tcW w:w="157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7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Фактическое время участия исполнителя в работе, Тф (дни)</w:t>
            </w:r>
          </w:p>
        </w:tc>
        <w:tc>
          <w:tcPr>
            <w:tcW w:w="198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5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Плановая продолжительность выполнения проектных работ, предусмотренных калькуляцией, Тп (дни)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5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Численность исполнителей одной квалификации Чi (чел)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Индекс уровня квалификации специалистов исполнителей работы И</w:t>
            </w:r>
            <w:r>
              <w:rPr>
                <w:rFonts w:cs="Times New Roman" w:ascii="Times New Roman" w:hAnsi="Times New Roman"/>
                <w:shd w:fill="auto" w:val="clear"/>
                <w:lang w:val="en-US"/>
              </w:rPr>
              <w:t>i</w:t>
            </w:r>
          </w:p>
        </w:tc>
        <w:tc>
          <w:tcPr>
            <w:tcW w:w="155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Коэффициент квалификации (участия) специалистов одной квалификации,</w:t>
            </w:r>
          </w:p>
          <w:p>
            <w:pPr>
              <w:pStyle w:val="ConsPlusNormal1"/>
              <w:widowControl w:val="false"/>
              <w:ind w:firstLine="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∑</w:t>
            </w:r>
            <w:r>
              <w:rPr>
                <w:rFonts w:cs="Times New Roman" w:ascii="Times New Roman" w:hAnsi="Times New Roman"/>
                <w:shd w:fill="auto" w:val="clear"/>
              </w:rPr>
              <w:t>(гр.3/итог гр.4 х гр.5 х гр.6) / ∑гр.5</w:t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81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hyperlink w:anchor="P3816">
              <w:r>
                <w:rPr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hyperlink w:anchor="P3816">
              <w:r>
                <w:rPr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hyperlink w:anchor="P3816">
              <w:r>
                <w:rPr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jc w:val="right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</w:t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hyperlink w:anchor="P3816">
              <w:r>
                <w:rPr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hyperlink w:anchor="P3816">
              <w:r>
                <w:rPr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sectPr>
          <w:footerReference w:type="default" r:id="rId31"/>
          <w:footerReference w:type="first" r:id="rId32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nformat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  <w:t>Примечание: &lt;*&gt; Графы для расчета коэффициента в таблице не заполняются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Расчет стоимости проектных работ в соответствии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 калькуляцией затрат на проектирование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</w:r>
    </w:p>
    <w:tbl>
      <w:tblPr>
        <w:tblW w:w="15501" w:type="dxa"/>
        <w:jc w:val="left"/>
        <w:tblInd w:w="-719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1833"/>
        <w:gridCol w:w="1276"/>
        <w:gridCol w:w="1700"/>
        <w:gridCol w:w="1845"/>
        <w:gridCol w:w="1133"/>
        <w:gridCol w:w="1702"/>
        <w:gridCol w:w="1415"/>
        <w:gridCol w:w="1702"/>
        <w:gridCol w:w="1619"/>
        <w:gridCol w:w="1274"/>
      </w:tblGrid>
      <w:tr>
        <w:trPr/>
        <w:tc>
          <w:tcPr>
            <w:tcW w:w="1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Среднемесячная зарплата исполнителей, руб.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Кол-во рабочих дней в месяце, дни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Среднедневная зарплата исполнителей, руб.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(</w:t>
            </w:r>
            <w:hyperlink w:anchor="P3831">
              <w:r>
                <w:rPr>
                  <w:rFonts w:cs="Times New Roman" w:ascii="Times New Roman" w:hAnsi="Times New Roman"/>
                  <w:shd w:fill="auto" w:val="clear"/>
                </w:rPr>
                <w:t>гр 1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/ </w:t>
            </w:r>
            <w:hyperlink w:anchor="P3832">
              <w:r>
                <w:rPr>
                  <w:rFonts w:cs="Times New Roman" w:ascii="Times New Roman" w:hAnsi="Times New Roman"/>
                  <w:shd w:fill="auto" w:val="clear"/>
                </w:rPr>
                <w:t>гр 2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>)</w:t>
            </w:r>
          </w:p>
        </w:tc>
        <w:tc>
          <w:tcPr>
            <w:tcW w:w="184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Удельный вес зарплаты в себестоимости работ - Кз, %</w:t>
            </w:r>
          </w:p>
        </w:tc>
        <w:tc>
          <w:tcPr>
            <w:tcW w:w="113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Рентабель-ность, %</w:t>
            </w:r>
          </w:p>
        </w:tc>
        <w:tc>
          <w:tcPr>
            <w:tcW w:w="17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Среднедневная единичная выработка, руб. (</w:t>
            </w:r>
            <w:hyperlink w:anchor="P3833">
              <w:r>
                <w:rPr>
                  <w:rFonts w:cs="Times New Roman" w:ascii="Times New Roman" w:hAnsi="Times New Roman"/>
                  <w:shd w:fill="auto" w:val="clear"/>
                </w:rPr>
                <w:t>гр. 3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(1 + </w:t>
            </w:r>
            <w:hyperlink w:anchor="P3835">
              <w:r>
                <w:rPr>
                  <w:rFonts w:cs="Times New Roman" w:ascii="Times New Roman" w:hAnsi="Times New Roman"/>
                  <w:shd w:fill="auto" w:val="clear"/>
                </w:rPr>
                <w:t>гр. 5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)) / </w:t>
            </w:r>
            <w:hyperlink w:anchor="P3834">
              <w:r>
                <w:rPr>
                  <w:rFonts w:cs="Times New Roman" w:ascii="Times New Roman" w:hAnsi="Times New Roman"/>
                  <w:shd w:fill="auto" w:val="clear"/>
                </w:rPr>
                <w:t>гр. 4</w:t>
              </w:r>
            </w:hyperlink>
          </w:p>
        </w:tc>
        <w:tc>
          <w:tcPr>
            <w:tcW w:w="141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Продолжи-тельность разработки (дни)</w:t>
            </w:r>
          </w:p>
        </w:tc>
        <w:tc>
          <w:tcPr>
            <w:tcW w:w="17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Численность исполнителей (чел.)</w:t>
            </w:r>
          </w:p>
        </w:tc>
        <w:tc>
          <w:tcPr>
            <w:tcW w:w="161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Коэффициент квалификации (участия) 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Ккв-уч</w:t>
            </w:r>
          </w:p>
        </w:tc>
        <w:tc>
          <w:tcPr>
            <w:tcW w:w="127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Стоимость работ, руб. 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b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 = (</w:t>
            </w:r>
            <w:hyperlink w:anchor="P3836">
              <w:r>
                <w:rPr>
                  <w:rFonts w:cs="Times New Roman" w:ascii="Times New Roman" w:hAnsi="Times New Roman"/>
                  <w:shd w:fill="auto" w:val="clear"/>
                </w:rPr>
                <w:t>гр. 6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7">
              <w:r>
                <w:rPr>
                  <w:rFonts w:cs="Times New Roman" w:ascii="Times New Roman" w:hAnsi="Times New Roman"/>
                  <w:shd w:fill="auto" w:val="clear"/>
                </w:rPr>
                <w:t>гр. 7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8">
              <w:r>
                <w:rPr>
                  <w:rFonts w:cs="Times New Roman" w:ascii="Times New Roman" w:hAnsi="Times New Roman"/>
                  <w:shd w:fill="auto" w:val="clear"/>
                </w:rPr>
                <w:t>гр. 8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9">
              <w:r>
                <w:rPr>
                  <w:rFonts w:cs="Times New Roman" w:ascii="Times New Roman" w:hAnsi="Times New Roman"/>
                  <w:shd w:fill="auto" w:val="clear"/>
                </w:rPr>
                <w:t>гр. 9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>)</w:t>
            </w:r>
          </w:p>
        </w:tc>
      </w:tr>
      <w:tr>
        <w:trPr/>
        <w:tc>
          <w:tcPr>
            <w:tcW w:w="183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70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7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84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113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41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8</w:t>
            </w:r>
          </w:p>
        </w:tc>
        <w:tc>
          <w:tcPr>
            <w:tcW w:w="161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9</w:t>
            </w:r>
          </w:p>
        </w:tc>
        <w:tc>
          <w:tcPr>
            <w:tcW w:w="127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3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10</w:t>
            </w:r>
          </w:p>
        </w:tc>
      </w:tr>
      <w:tr>
        <w:trPr/>
        <w:tc>
          <w:tcPr>
            <w:tcW w:w="183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84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13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1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pStyle w:val="ConsPlusNormal1"/>
        <w:jc w:val="both"/>
        <w:rPr>
          <w:rFonts w:ascii="Times New Roman" w:hAnsi="Times New Roman" w:eastAsia="Calibri" w:cs="Times New Roman" w:eastAsiaTheme="minorHAnsi"/>
          <w:sz w:val="24"/>
          <w:szCs w:val="24"/>
          <w:highlight w:val="none"/>
          <w:shd w:fill="auto" w:val="clear"/>
        </w:rPr>
      </w:pPr>
      <w:r>
        <w:rPr>
          <w:rFonts w:eastAsia="Calibri" w:cs="Times New Roman" w:eastAsiaTheme="minorHAnsi" w:ascii="Times New Roman" w:hAnsi="Times New Roman"/>
          <w:sz w:val="24"/>
          <w:szCs w:val="24"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проектной организации 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проекта _______________________________________________________________________________________________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  <w:bookmarkStart w:id="56" w:name="_MON_1758635370_Копия_1_Копия_1_Копия_1_"/>
      <w:bookmarkStart w:id="57" w:name="_MON_1758635370_Копия_1_Копия_1_Копия_1_"/>
      <w:bookmarkStart w:id="58" w:name="_MON_1758635370_Копия_1_Копия_1_Копия_1_"/>
      <w:bookmarkStart w:id="59" w:name="_MON_1758635370_Копия_1_Копия_1_Копия_1_"/>
      <w:bookmarkStart w:id="60" w:name="_MON_1758635370_Копия_1_Копия_1"/>
      <w:bookmarkStart w:id="61" w:name="_MON_1758635370"/>
      <w:bookmarkStart w:id="62" w:name="_MON_1758635370_Копия_1"/>
      <w:bookmarkStart w:id="63" w:name="_MON_1758635370_Копия_1_Копия_1_Копия_1"/>
      <w:bookmarkStart w:id="64" w:name="_MON_1758635370_Копия_1_Копия_1_Копия_1_"/>
      <w:bookmarkStart w:id="65" w:name="_MON_1758635370_Копия_1_Копия_1_Копия_1_"/>
      <w:bookmarkStart w:id="66" w:name="_MON_1758635370_Копия_1_Копия_1_Копия_1_"/>
      <w:bookmarkStart w:id="67" w:name="_MON_1758635370_Копия_1_Копия_1_Копия_1_"/>
      <w:bookmarkStart w:id="68" w:name="_MON_1758635370_Копия_1_Копия_1_Копия_1_"/>
      <w:bookmarkStart w:id="69" w:name="_MON_1758635370_Копия_1_Копия_1_Копия_1_"/>
      <w:bookmarkStart w:id="70" w:name="_MON_1758635370_Копия_1_Копия_1_Копия_1_"/>
      <w:bookmarkStart w:id="71" w:name="_MON_1758635370_Копия_1_Копия_1"/>
      <w:bookmarkStart w:id="72" w:name="_MON_1758635370"/>
      <w:bookmarkStart w:id="73" w:name="_MON_1758635370_Копия_1"/>
      <w:bookmarkStart w:id="74" w:name="_MON_1758635370_Копия_1_Копия_1_Копия_1"/>
      <w:bookmarkStart w:id="75" w:name="_MON_1758635370_Копия_1_Копия_1_Копия_1_"/>
      <w:bookmarkStart w:id="76" w:name="_MON_1758635370_Копия_1_Копия_1_Копия_1_"/>
      <w:bookmarkStart w:id="77" w:name="_MON_1758635370_Копия_1_Копия_1_Копия_1_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>
      <w:pPr>
        <w:sectPr>
          <w:footerReference w:type="default" r:id="rId35"/>
          <w:footerReference w:type="first" r:id="rId36"/>
          <w:footnotePr>
            <w:numFmt w:val="decimal"/>
            <w:numRestart w:val="eachSect"/>
          </w:footnotePr>
          <w:type w:val="nextPage"/>
          <w:pgSz w:orient="landscape" w:w="16838" w:h="11906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rmal1"/>
        <w:ind w:hanging="0"/>
        <w:jc w:val="both"/>
        <w:rPr>
          <w:highlight w:val="none"/>
          <w:shd w:fill="auto" w:val="clear"/>
        </w:rPr>
      </w:pPr>
      <w:bookmarkStart w:id="78" w:name="_MON_1758635370_Копия_1_Копия_1_Копия_1_"/>
      <w:bookmarkEnd w:id="78"/>
      <w:r>
        <w:rPr/>
        <w:object>
          <v:shapetype id="_x0000_tole_rId33" coordsize="21600,21600" o:spt="ole_rId3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3" type="_x0000_tole_rId33" style="width:79.45pt;height:50.65pt;mso-wrap-distance-right:0pt" filled="f" o:ole="">
            <v:imagedata r:id="rId34" o:title=""/>
          </v:shape>
          <o:OLEObject Type="Embed" ProgID="Excel.Sheet.12" ShapeID="ole_rId33" DrawAspect="Icon" ObjectID="_472591658" r:id="rId33"/>
        </w:objec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bookmarkStart w:id="79" w:name="P3865"/>
      <w:bookmarkEnd w:id="79"/>
      <w:r>
        <w:rPr>
          <w:rFonts w:ascii="Times New Roman" w:hAnsi="Times New Roman"/>
          <w:shd w:fill="auto" w:val="clear"/>
        </w:rPr>
        <w:t>Образец сметного расчета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командировочные расходы по работам,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связанным с проектированием объекта (форма 4п)</w:t>
      </w:r>
    </w:p>
    <w:p>
      <w:pPr>
        <w:pStyle w:val="ConsPlusNormal1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tbl>
      <w:tblPr>
        <w:tblW w:w="15038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491"/>
        <w:gridCol w:w="1626"/>
        <w:gridCol w:w="1698"/>
        <w:gridCol w:w="1973"/>
        <w:gridCol w:w="2664"/>
        <w:gridCol w:w="1271"/>
        <w:gridCol w:w="1917"/>
        <w:gridCol w:w="2006"/>
        <w:gridCol w:w="1390"/>
      </w:tblGrid>
      <w:tr>
        <w:trPr>
          <w:trHeight w:val="644" w:hRule="atLeast"/>
        </w:trPr>
        <w:tc>
          <w:tcPr>
            <w:tcW w:w="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N п/п</w:t>
            </w:r>
          </w:p>
        </w:tc>
        <w:tc>
          <w:tcPr>
            <w:tcW w:w="1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Пункт назначения</w:t>
            </w:r>
          </w:p>
        </w:tc>
        <w:tc>
          <w:tcPr>
            <w:tcW w:w="169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Количество специалистов</w:t>
            </w:r>
          </w:p>
        </w:tc>
        <w:tc>
          <w:tcPr>
            <w:tcW w:w="197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Проезд к месту командировки (туда и обратно)</w:t>
            </w:r>
          </w:p>
        </w:tc>
        <w:tc>
          <w:tcPr>
            <w:tcW w:w="26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Проживание в номере гостиницы класса "3 звезды", 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 чел/сутки.</w:t>
            </w:r>
          </w:p>
        </w:tc>
        <w:tc>
          <w:tcPr>
            <w:tcW w:w="127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Суточные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 сутки/руб.</w:t>
            </w:r>
          </w:p>
        </w:tc>
        <w:tc>
          <w:tcPr>
            <w:tcW w:w="19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Продолжительность командировки, сутки</w:t>
            </w:r>
          </w:p>
        </w:tc>
        <w:tc>
          <w:tcPr>
            <w:tcW w:w="200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Продолжительность проживания в гостинице, сутки</w:t>
            </w:r>
          </w:p>
        </w:tc>
        <w:tc>
          <w:tcPr>
            <w:tcW w:w="139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 затрат, рубли</w:t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8</w:t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9</w:t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3815" w:type="dxa"/>
            <w:gridSpan w:val="3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 по сметному расчету</w:t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pStyle w:val="ConsPlusNormal1"/>
        <w:jc w:val="both"/>
        <w:rPr>
          <w:rFonts w:ascii="Times New Roman" w:hAnsi="Times New Roman" w:eastAsia="Calibri" w:cs="Times New Roman" w:eastAsiaTheme="minorHAnsi"/>
          <w:sz w:val="22"/>
          <w:szCs w:val="22"/>
          <w:highlight w:val="none"/>
          <w:shd w:fill="auto" w:val="clear"/>
        </w:rPr>
      </w:pPr>
      <w:r>
        <w:rPr>
          <w:rFonts w:eastAsia="Calibri" w:cs="Times New Roman" w:eastAsiaTheme="minorHAnsi" w:ascii="Times New Roman" w:hAnsi="Times New Roman"/>
          <w:sz w:val="22"/>
          <w:szCs w:val="22"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проектной организации 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проекта _____________________________________________________________________________________________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sectPr>
          <w:footerReference w:type="default" r:id="rId39"/>
          <w:footerReference w:type="first" r:id="rId40"/>
          <w:footnotePr>
            <w:numFmt w:val="decimal"/>
            <w:numRestart w:val="eachSect"/>
          </w:footnotePr>
          <w:type w:val="nextPage"/>
          <w:pgSz w:orient="landscape" w:w="16838" w:h="11906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bookmarkStart w:id="80" w:name="_Hlk146878269"/>
      <w:r>
        <w:rPr/>
        <w:object>
          <v:shapetype id="_x0000_tole_rId37" coordsize="21600,21600" o:spt="ole_rId3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" type="_x0000_tole_rId37" style="width:79.45pt;height:50.65pt;mso-wrap-distance-right:0pt" filled="f" o:ole="">
            <v:imagedata r:id="rId38" o:title=""/>
          </v:shape>
          <o:OLEObject Type="Embed" ProgID="Excel.Sheet.12" ShapeID="ole_rId37" DrawAspect="Icon" ObjectID="_1786847759" r:id="rId37"/>
        </w:object>
      </w:r>
      <w:bookmarkEnd w:id="80"/>
    </w:p>
    <w:p>
      <w:pPr>
        <w:pStyle w:val="Normal"/>
        <w:spacing w:lineRule="auto" w:line="240" w:before="0" w:after="0"/>
        <w:ind w:left="5812" w:hanging="0"/>
        <w:jc w:val="both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ListParagraph"/>
        <w:spacing w:lineRule="auto" w:line="240" w:before="0" w:after="0"/>
        <w:ind w:left="1429" w:hanging="0"/>
        <w:contextualSpacing/>
        <w:jc w:val="right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Style w:val="Style15"/>
          <w:rFonts w:ascii="Times New Roman" w:hAnsi="Times New Roman"/>
          <w:iCs/>
          <w:shd w:fill="auto" w:val="clear"/>
        </w:rPr>
        <w:t>Приложение № 4</w:t>
      </w:r>
    </w:p>
    <w:p>
      <w:pPr>
        <w:pStyle w:val="ListParagraph"/>
        <w:widowControl w:val="false"/>
        <w:pBdr>
          <w:bottom w:val="single" w:sz="4" w:space="1" w:color="000000"/>
        </w:pBdr>
        <w:tabs>
          <w:tab w:val="clear" w:pos="709"/>
          <w:tab w:val="left" w:pos="426" w:leader="none"/>
        </w:tabs>
        <w:spacing w:lineRule="auto" w:line="240" w:before="0" w:after="0"/>
        <w:ind w:left="0" w:hanging="0"/>
        <w:contextualSpacing/>
        <w:jc w:val="right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Style w:val="Style15"/>
          <w:rFonts w:ascii="Times New Roman" w:hAnsi="Times New Roman"/>
          <w:iCs/>
          <w:shd w:fill="auto" w:val="clear"/>
        </w:rPr>
        <w:t xml:space="preserve">к Основным положениям </w:t>
        <w:br/>
        <w:t xml:space="preserve">по установлению требований к оформлению </w:t>
        <w:br/>
        <w:t xml:space="preserve">и составлению сметной документации </w:t>
      </w:r>
    </w:p>
    <w:p>
      <w:pPr>
        <w:pStyle w:val="ListParagraph"/>
        <w:tabs>
          <w:tab w:val="clear" w:pos="709"/>
          <w:tab w:val="left" w:pos="1134" w:leader="none"/>
        </w:tabs>
        <w:spacing w:lineRule="auto" w:line="240" w:before="0" w:after="0"/>
        <w:ind w:left="1429" w:hanging="0"/>
        <w:contextualSpacing/>
        <w:rPr>
          <w:rFonts w:ascii="Times New Roman" w:hAnsi="Times New Roman"/>
          <w:b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</w:r>
    </w:p>
    <w:p>
      <w:pPr>
        <w:pStyle w:val="ConsPlusNormal1"/>
        <w:widowControl/>
        <w:tabs>
          <w:tab w:val="clear" w:pos="709"/>
          <w:tab w:val="left" w:pos="900" w:leader="none"/>
          <w:tab w:val="left" w:pos="1134" w:leader="none"/>
        </w:tabs>
        <w:ind w:left="720" w:hanging="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Основные условия ценообразования к договору</w:t>
      </w:r>
    </w:p>
    <w:p>
      <w:pPr>
        <w:pStyle w:val="ConsPlusNormal1"/>
        <w:widowControl/>
        <w:tabs>
          <w:tab w:val="clear" w:pos="709"/>
          <w:tab w:val="left" w:pos="1134" w:leader="none"/>
        </w:tabs>
        <w:ind w:left="720" w:hanging="0"/>
        <w:jc w:val="center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tabs>
          <w:tab w:val="clear" w:pos="709"/>
          <w:tab w:val="left" w:pos="13892" w:leader="none"/>
        </w:tabs>
        <w:spacing w:lineRule="auto" w:line="240" w:before="0" w:after="0"/>
        <w:ind w:left="720" w:right="253" w:hanging="0"/>
        <w:contextualSpacing/>
        <w:jc w:val="center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tabs>
          <w:tab w:val="clear" w:pos="709"/>
          <w:tab w:val="left" w:pos="13892" w:leader="none"/>
        </w:tabs>
        <w:spacing w:lineRule="auto" w:line="240" w:before="0" w:after="0"/>
        <w:ind w:left="720" w:right="253" w:hanging="0"/>
        <w:contextualSpacing/>
        <w:jc w:val="center"/>
        <w:rPr>
          <w:highlight w:val="none"/>
          <w:shd w:fill="auto" w:val="clear"/>
        </w:rPr>
      </w:pPr>
      <w:r>
        <w:rPr/>
        <w:object>
          <v:shapetype id="_x0000_tole_rId41" coordsize="21600,21600" o:spt="ole_rId4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1" type="_x0000_tole_rId41" style="position:absolute;margin-left:226pt;margin-top:0pt;width:31.95pt;height:31.95pt;mso-wrap-distance-right:0pt;mso-position-horizontal-relative:text;mso-position-vertical-relative:text" filled="f" o:ole="">
            <v:imagedata r:id="rId42" o:title=""/>
            <w10:wrap type="square"/>
          </v:shape>
          <o:OLEObject Type="Embed" ProgID="Excel.Sheet.12" ShapeID="ole_rId41" DrawAspect="Icon" ObjectID="_1132590013" r:id="rId41"/>
        </w:object>
      </w:r>
    </w:p>
    <w:sectPr>
      <w:footerReference w:type="default" r:id="rId43"/>
      <w:footerReference w:type="first" r:id="rId44"/>
      <w:footnotePr>
        <w:numFmt w:val="decimal"/>
        <w:numRestart w:val="eachSect"/>
      </w:footnotePr>
      <w:type w:val="nextPage"/>
      <w:pgSz w:w="11906" w:h="16838"/>
      <w:pgMar w:left="1304" w:right="924" w:gutter="0" w:header="0" w:top="851" w:footer="709" w:bottom="766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Cambria">
    <w:charset w:val="01"/>
    <w:family w:val="roman"/>
    <w:pitch w:val="variable"/>
  </w:font>
  <w:font w:name="Times New Roman">
    <w:charset w:val="01"/>
    <w:family w:val="roman"/>
    <w:pitch w:val="variable"/>
  </w:font>
  <w:font w:name="Tahoma">
    <w:charset w:val="01"/>
    <w:family w:val="roman"/>
    <w:pitch w:val="variable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Verdana">
    <w:charset w:val="01"/>
    <w:family w:val="roman"/>
    <w:pitch w:val="variable"/>
  </w:font>
  <w:font w:name="Garamond">
    <w:charset w:val="01"/>
    <w:family w:val="roman"/>
    <w:pitch w:val="variable"/>
  </w:font>
  <w:font w:name="Courier New">
    <w:charset w:val="01"/>
    <w:family w:val="roman"/>
    <w:pitch w:val="variable"/>
  </w:font>
  <w:font w:name="Arial">
    <w:altName w:val=" sans-serif"/>
    <w:charset w:val="01"/>
    <w:family w:val="roman"/>
    <w:pitch w:val="variable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766547895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4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0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359078364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12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220721409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13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322956287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17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558729716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20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754742106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21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357835260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5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20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23</w:t>
    </w:r>
    <w:r>
      <w:rPr/>
      <w:fldChar w:fldCharType="end"/>
    </w:r>
  </w:p>
  <w:p>
    <w:pPr>
      <w:pStyle w:val="Footer"/>
      <w:rPr/>
    </w:pPr>
    <w:r>
      <w:rPr/>
    </w:r>
  </w:p>
</w:ftr>
</file>

<file path=word/footer2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24</w:t>
    </w:r>
    <w:r>
      <w:rPr/>
      <w:fldChar w:fldCharType="end"/>
    </w:r>
  </w:p>
  <w:p>
    <w:pPr>
      <w:pStyle w:val="Footer"/>
      <w:rPr/>
    </w:pPr>
    <w:r>
      <w:rPr/>
    </w:r>
  </w:p>
</w:ftr>
</file>

<file path=word/footer2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25</w:t>
    </w:r>
    <w:r>
      <w:rPr/>
      <w:fldChar w:fldCharType="end"/>
    </w:r>
  </w:p>
  <w:p>
    <w:pPr>
      <w:pStyle w:val="Footer"/>
      <w:rPr/>
    </w:pPr>
    <w:r>
      <w:rPr/>
    </w:r>
  </w:p>
</w:ftr>
</file>

<file path=word/footer2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26</w:t>
    </w:r>
    <w:r>
      <w:rPr/>
      <w:fldChar w:fldCharType="end"/>
    </w:r>
  </w:p>
  <w:p>
    <w:pPr>
      <w:pStyle w:val="Footer"/>
      <w:rPr/>
    </w:pPr>
    <w:r>
      <w:rPr/>
    </w:r>
  </w:p>
</w:ftr>
</file>

<file path=word/footer2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090075888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7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613576662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9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617018515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11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Normal"/>
        <w:spacing w:lineRule="auto" w:line="240" w:before="0" w:after="0"/>
        <w:jc w:val="both"/>
        <w:rPr>
          <w:rFonts w:ascii="Times New Roman" w:hAnsi="Times New Roman"/>
          <w:sz w:val="18"/>
          <w:szCs w:val="18"/>
        </w:rPr>
      </w:pPr>
      <w:r>
        <w:rPr>
          <w:rStyle w:val="Style3"/>
        </w:rPr>
        <w:footnoteRef/>
      </w:r>
      <w:r>
        <w:rPr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 xml:space="preserve">На официальном сайте единой межведомственной информационно-статистической системы (ЕМИСС) https://www.fedstat.ru указанная информация представлена по показателю «Среднемесячная номинальная начисленная заработная плата работающих в экономике с 2017 г.», в графе «Классификатор видов экономической деятельности» следует выбрать «Деятельность в области архитектуры и инженерно-технического проектирования; технических испытаний, исследований и анализа».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</w:r>
    </w:p>
    <w:p>
      <w:pPr>
        <w:pStyle w:val="Normal"/>
        <w:spacing w:lineRule="auto" w:line="240" w:before="0" w:after="0"/>
        <w:jc w:val="both"/>
        <w:rPr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Для работ по проектированию объектов, являющихся особо опасными, технически сложными, уникальными объектами следует выбрать «Деятельность в области архитектуры, инженерных изысканий и предоставление технических консультаций в этих областях».</w:t>
      </w:r>
    </w:p>
  </w:footnote>
</w:footnote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center"/>
      <w:pPr>
        <w:tabs>
          <w:tab w:val="num" w:pos="567"/>
        </w:tabs>
        <w:ind w:left="567" w:hanging="279"/>
      </w:pPr>
      <w:rPr/>
    </w:lvl>
    <w:lvl w:ilvl="1">
      <w:start w:val="1"/>
      <w:numFmt w:val="decimal"/>
      <w:lvlText w:val="%1.%2."/>
      <w:lvlJc w:val="left"/>
      <w:pPr>
        <w:tabs>
          <w:tab w:val="num" w:pos="1844"/>
        </w:tabs>
        <w:ind w:left="1844" w:hanging="567"/>
      </w:pPr>
      <w:rPr>
        <w:u w:val="none"/>
      </w:rPr>
    </w:lvl>
    <w:lvl w:ilvl="2">
      <w:start w:val="1"/>
      <w:numFmt w:val="decimal"/>
      <w:lvlText w:val="%1.%2.%3."/>
      <w:lvlJc w:val="left"/>
      <w:pPr>
        <w:tabs>
          <w:tab w:val="num" w:pos="993"/>
        </w:tabs>
        <w:ind w:left="993" w:hanging="851"/>
      </w:pPr>
      <w:rPr>
        <w:dstrike w:val="false"/>
        <w:strike w:val="false"/>
      </w:rPr>
    </w:lvl>
    <w:lvl w:ilvl="3">
      <w:start w:val="1"/>
      <w:numFmt w:val="decimal"/>
      <w:lvlText w:val="%1.%2.%3.%4."/>
      <w:lvlJc w:val="left"/>
      <w:pPr>
        <w:tabs>
          <w:tab w:val="num" w:pos="1277"/>
        </w:tabs>
        <w:ind w:left="1277" w:hanging="567"/>
      </w:pPr>
      <w:rPr/>
    </w:lvl>
    <w:lvl w:ilvl="4">
      <w:start w:val="1"/>
      <w:numFmt w:val="lowerLetter"/>
      <w:lvlText w:val="%5)"/>
      <w:lvlJc w:val="left"/>
      <w:pPr>
        <w:tabs>
          <w:tab w:val="num" w:pos="1718"/>
        </w:tabs>
        <w:ind w:left="1718" w:hanging="1008"/>
      </w:pPr>
      <w:rPr/>
    </w:lvl>
    <w:lvl w:ilvl="5">
      <w:start w:val="1"/>
      <w:numFmt w:val="decimal"/>
      <w:lvlText w:val="%1.%2.%3.%4.%5.%6."/>
      <w:lvlJc w:val="left"/>
      <w:pPr>
        <w:tabs>
          <w:tab w:val="num" w:pos="2592"/>
        </w:tabs>
        <w:ind w:left="2592" w:hanging="1152"/>
      </w:pPr>
      <w:rPr/>
    </w:lvl>
    <w:lvl w:ilvl="6">
      <w:start w:val="1"/>
      <w:numFmt w:val="decimal"/>
      <w:lvlText w:val="%1.%2.%3.%4.%5.%6.%7."/>
      <w:lvlJc w:val="left"/>
      <w:pPr>
        <w:tabs>
          <w:tab w:val="num" w:pos="2736"/>
        </w:tabs>
        <w:ind w:left="2736" w:hanging="1296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3024"/>
        </w:tabs>
        <w:ind w:left="3024" w:hanging="1584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i w:val="false"/>
        <w:rFonts w:ascii="Garamond" w:hAnsi="Garamond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/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1713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4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1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3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0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7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73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1211" w:hanging="360"/>
      </w:pPr>
      <w:rPr>
        <w:rFonts w:ascii="Symbol" w:hAnsi="Symbol" w:cs="Symbol" w:hint="default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07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164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07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  <w:rPr>
        <w:sz w:val="24"/>
        <w:i w:val="false"/>
        <w:b w:val="false"/>
        <w:szCs w:val="24"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52" w:hanging="450"/>
      </w:pPr>
      <w:rPr>
        <w:sz w:val="22"/>
        <w:b w:val="false"/>
        <w:szCs w:val="22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82" w:hanging="720"/>
      </w:pPr>
      <w:rPr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42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662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022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382" w:hanging="108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102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462" w:hanging="1440"/>
      </w:pPr>
      <w:rPr>
        <w:sz w:val="28"/>
      </w:rPr>
    </w:lvl>
  </w:abstractNum>
  <w:abstractNum w:abstractNumId="7">
    <w:lvl w:ilvl="0">
      <w:start w:val="1"/>
      <w:numFmt w:val="decimal"/>
      <w:lvlText w:val="%1."/>
      <w:lvlJc w:val="center"/>
      <w:pPr>
        <w:tabs>
          <w:tab w:val="num" w:pos="1272"/>
        </w:tabs>
        <w:ind w:left="1272" w:hanging="279"/>
      </w:pPr>
      <w:rPr>
        <w:sz w:val="24"/>
        <w:i w:val="false"/>
        <w:u w:val="none"/>
        <w:b w:val="false"/>
        <w:szCs w:val="24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1844"/>
        </w:tabs>
        <w:ind w:left="1844" w:hanging="567"/>
      </w:pPr>
      <w:rPr>
        <w:sz w:val="24"/>
        <w:u w:val="none"/>
        <w:b w:val="false"/>
        <w:szCs w:val="24"/>
      </w:rPr>
    </w:lvl>
    <w:lvl w:ilvl="2">
      <w:start w:val="1"/>
      <w:numFmt w:val="decimal"/>
      <w:lvlText w:val="%1.%2.%3."/>
      <w:lvlJc w:val="left"/>
      <w:pPr>
        <w:tabs>
          <w:tab w:val="num" w:pos="993"/>
        </w:tabs>
        <w:ind w:left="993" w:hanging="851"/>
      </w:pPr>
      <w:rPr>
        <w:dstrike w:val="false"/>
        <w:strike w:val="false"/>
      </w:rPr>
    </w:lvl>
    <w:lvl w:ilvl="3">
      <w:start w:val="1"/>
      <w:numFmt w:val="decimal"/>
      <w:lvlText w:val="%1.%2.%3.%4."/>
      <w:lvlJc w:val="left"/>
      <w:pPr>
        <w:tabs>
          <w:tab w:val="num" w:pos="1277"/>
        </w:tabs>
        <w:ind w:left="1277" w:hanging="567"/>
      </w:pPr>
      <w:rPr/>
    </w:lvl>
    <w:lvl w:ilvl="4">
      <w:start w:val="1"/>
      <w:numFmt w:val="lowerLetter"/>
      <w:lvlText w:val="%5)"/>
      <w:lvlJc w:val="left"/>
      <w:pPr>
        <w:tabs>
          <w:tab w:val="num" w:pos="1718"/>
        </w:tabs>
        <w:ind w:left="1718" w:hanging="1008"/>
      </w:pPr>
      <w:rPr/>
    </w:lvl>
    <w:lvl w:ilvl="5">
      <w:start w:val="1"/>
      <w:numFmt w:val="decimal"/>
      <w:lvlText w:val="%1.%2.%3.%4.%5.%6."/>
      <w:lvlJc w:val="left"/>
      <w:pPr>
        <w:tabs>
          <w:tab w:val="num" w:pos="2592"/>
        </w:tabs>
        <w:ind w:left="2592" w:hanging="1152"/>
      </w:pPr>
      <w:rPr/>
    </w:lvl>
    <w:lvl w:ilvl="6">
      <w:start w:val="1"/>
      <w:numFmt w:val="decimal"/>
      <w:lvlText w:val="%1.%2.%3.%4.%5.%6.%7."/>
      <w:lvlJc w:val="left"/>
      <w:pPr>
        <w:tabs>
          <w:tab w:val="num" w:pos="2736"/>
        </w:tabs>
        <w:ind w:left="2736" w:hanging="1296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3024"/>
        </w:tabs>
        <w:ind w:left="3024" w:hanging="1584"/>
      </w:pPr>
      <w:rPr/>
    </w:lvl>
  </w:abstractNum>
  <w:abstractNum w:abstractNumId="8"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b w:val="false"/>
        <w:rFonts w:ascii="Times New Roman" w:hAnsi="Times New Roman" w:eastAsia="Calibri" w:cs="Times New Roman"/>
        <w:color w:val="00000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6" w:hanging="360"/>
      </w:pPr>
      <w:rPr/>
    </w:lvl>
    <w:lvl w:ilvl="2">
      <w:start w:val="1"/>
      <w:numFmt w:val="decimal"/>
      <w:lvlText w:val="%1.%2.%3"/>
      <w:lvlJc w:val="left"/>
      <w:pPr>
        <w:tabs>
          <w:tab w:val="num" w:pos="0"/>
        </w:tabs>
        <w:ind w:left="1724" w:hanging="720"/>
      </w:pPr>
      <w:rPr/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42" w:hanging="720"/>
      </w:pPr>
      <w:rPr/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20" w:hanging="1080"/>
      </w:pPr>
      <w:rPr/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738" w:hanging="1080"/>
      </w:pPr>
      <w:rPr/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316" w:hanging="1440"/>
      </w:pPr>
      <w:rPr/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534" w:hanging="1440"/>
      </w:pPr>
      <w:rPr/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752" w:hanging="1440"/>
      </w:pPr>
      <w:rPr/>
    </w:lvl>
  </w:abstractNum>
  <w:abstractNum w:abstractNumId="9">
    <w:lvl w:ilvl="0">
      <w:start w:val="1"/>
      <w:numFmt w:val="bullet"/>
      <w:lvlText w:val=""/>
      <w:lvlJc w:val="left"/>
      <w:pPr>
        <w:tabs>
          <w:tab w:val="num" w:pos="0"/>
        </w:tabs>
        <w:ind w:left="13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80" w:hanging="360"/>
      </w:pPr>
      <w:rPr>
        <w:rFonts w:ascii="Wingdings" w:hAnsi="Wingdings" w:cs="Wingdings" w:hint="default"/>
      </w:rPr>
    </w:lvl>
  </w:abstractNum>
  <w:abstractNum w:abstractNumId="10"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lvl w:ilvl="0">
      <w:start w:val="1"/>
      <w:numFmt w:val="decimal"/>
      <w:lvlText w:val="%1."/>
      <w:lvlJc w:val="left"/>
      <w:pPr>
        <w:tabs>
          <w:tab w:val="num" w:pos="397"/>
        </w:tabs>
        <w:ind w:left="0" w:hanging="0"/>
      </w:pPr>
      <w:rPr>
        <w:i w:val="false"/>
        <w:b w:val="fals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284" w:hanging="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pacing w:val="0"/>
        <w:i w:val="false"/>
        <w:u w:val="none"/>
        <w:b w:val="false"/>
        <w:kern w:val="0"/>
        <w:effect w:val="none"/>
        <w:iCs w:val="false"/>
        <w:bCs w:val="false"/>
        <w:em w:val="none"/>
        <w:vanish w:val="false"/>
        <w:rFonts w:ascii="Times New Roman" w:hAnsi="Times New Roman" w:cs="Times New Roman"/>
        <w:color w:val="000000"/>
        <w14:cntxtAlts>
          <w14:cntxtAlts/>
        </w14:cntxtAlts>
        <w14:glow w14:rad="0">
          <w14:srgbClr w14:val="000000"/>
        </w14:glow>
        <w14:ligatures w14:val="none"/>
        <w14:numForm w14:val="default"/>
        <w14:numSpacing w14:val="default"/>
        <w14:props3d w14:extrusionH="0" w14:contourW="0" w14:prstMaterial="none"/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shadow w14:blurRad="0" w14:dist="0" w14:dir="0" w14:sx="0" w14:sy="0" w14:kx="0" w14:ky="0" w14:algn="none">
          <w14:srgbClr w14:val="000000"/>
        </w14:shadow>
        <w14:stylisticSets/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/>
    </w:lvl>
  </w:abstractNum>
  <w:abstractNum w:abstractNumId="12"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/>
    </w:lvl>
    <w:lvl w:ilvl="1">
      <w:start w:val="4"/>
      <w:numFmt w:val="decimal"/>
      <w:lvlText w:val="%1.%2"/>
      <w:lvlJc w:val="left"/>
      <w:pPr>
        <w:tabs>
          <w:tab w:val="num" w:pos="0"/>
        </w:tabs>
        <w:ind w:left="360" w:hanging="360"/>
      </w:pPr>
      <w:rPr/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/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/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/>
    </w:lvl>
  </w:abstractNum>
  <w:abstractNum w:abstractNumId="1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w="http://schemas.openxmlformats.org/wordprocessingml/2006/main">
  <w:zoom w:percent="110"/>
  <w:defaultTabStop w:val="709"/>
  <w:autoHyphenation w:val="true"/>
  <w:footnotePr>
    <w:numFmt w:val="decimal"/>
    <w:numRestart w:val="eachSect"/>
    <w:footnote w:id="0"/>
    <w:footnote w:id="1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Times New Roman" w:cs="Times New Roman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bd2f0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Times New Roman" w:cs="Times New Roman"/>
      <w:color w:val="auto"/>
      <w:kern w:val="0"/>
      <w:sz w:val="22"/>
      <w:szCs w:val="22"/>
      <w:lang w:val="ru-RU" w:eastAsia="ru-RU" w:bidi="ar-SA"/>
    </w:rPr>
  </w:style>
  <w:style w:type="paragraph" w:styleId="Heading1">
    <w:name w:val="Heading 1"/>
    <w:basedOn w:val="Normal"/>
    <w:next w:val="Normal"/>
    <w:link w:val="11"/>
    <w:uiPriority w:val="9"/>
    <w:qFormat/>
    <w:rsid w:val="00bb18d9"/>
    <w:pPr>
      <w:keepNext w:val="true"/>
      <w:keepLines/>
      <w:spacing w:lineRule="auto" w:line="240"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2"/>
    <w:uiPriority w:val="9"/>
    <w:unhideWhenUsed/>
    <w:qFormat/>
    <w:rsid w:val="00d4745f"/>
    <w:pPr>
      <w:keepNext w:val="true"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3"/>
    <w:uiPriority w:val="9"/>
    <w:qFormat/>
    <w:rsid w:val="00bb18d9"/>
    <w:pPr>
      <w:keepNext w:val="true"/>
      <w:keepLines/>
      <w:spacing w:lineRule="auto" w:line="240" w:before="200" w:after="0"/>
      <w:outlineLvl w:val="2"/>
    </w:pPr>
    <w:rPr>
      <w:rFonts w:ascii="Cambria" w:hAnsi="Cambria"/>
      <w:b/>
      <w:bCs/>
      <w:color w:val="4F81BD"/>
      <w:sz w:val="20"/>
      <w:szCs w:val="20"/>
    </w:rPr>
  </w:style>
  <w:style w:type="paragraph" w:styleId="Heading4">
    <w:name w:val="Heading 4"/>
    <w:basedOn w:val="Normal"/>
    <w:next w:val="Normal"/>
    <w:link w:val="4"/>
    <w:uiPriority w:val="9"/>
    <w:qFormat/>
    <w:rsid w:val="00bb18d9"/>
    <w:pPr>
      <w:keepNext w:val="true"/>
      <w:keepLines/>
      <w:spacing w:lineRule="auto" w:line="240" w:before="200" w:after="0"/>
      <w:outlineLvl w:val="3"/>
    </w:pPr>
    <w:rPr>
      <w:rFonts w:ascii="Cambria" w:hAnsi="Cambria"/>
      <w:b/>
      <w:bCs/>
      <w:i/>
      <w:iCs/>
      <w:color w:val="4F81BD"/>
      <w:sz w:val="20"/>
      <w:szCs w:val="20"/>
    </w:rPr>
  </w:style>
  <w:style w:type="paragraph" w:styleId="Heading5">
    <w:name w:val="Heading 5"/>
    <w:basedOn w:val="Normal"/>
    <w:next w:val="Normal"/>
    <w:link w:val="5"/>
    <w:uiPriority w:val="9"/>
    <w:qFormat/>
    <w:rsid w:val="00bb18d9"/>
    <w:pPr>
      <w:keepNext w:val="true"/>
      <w:keepLines/>
      <w:spacing w:lineRule="auto" w:line="240" w:before="200" w:after="0"/>
      <w:outlineLvl w:val="4"/>
    </w:pPr>
    <w:rPr>
      <w:rFonts w:ascii="Cambria" w:hAnsi="Cambria"/>
      <w:color w:val="243F60"/>
      <w:sz w:val="20"/>
      <w:szCs w:val="20"/>
    </w:rPr>
  </w:style>
  <w:style w:type="paragraph" w:styleId="Heading6">
    <w:name w:val="Heading 6"/>
    <w:basedOn w:val="Normal"/>
    <w:next w:val="Normal"/>
    <w:link w:val="6"/>
    <w:uiPriority w:val="9"/>
    <w:qFormat/>
    <w:rsid w:val="00bb18d9"/>
    <w:pPr>
      <w:keepNext w:val="true"/>
      <w:keepLines/>
      <w:spacing w:lineRule="auto" w:line="240" w:before="200" w:after="0"/>
      <w:outlineLvl w:val="5"/>
    </w:pPr>
    <w:rPr>
      <w:rFonts w:ascii="Cambria" w:hAnsi="Cambria"/>
      <w:i/>
      <w:iCs/>
      <w:color w:val="243F60"/>
      <w:sz w:val="20"/>
      <w:szCs w:val="20"/>
    </w:rPr>
  </w:style>
  <w:style w:type="paragraph" w:styleId="Heading7">
    <w:name w:val="Heading 7"/>
    <w:basedOn w:val="Normal"/>
    <w:next w:val="Normal"/>
    <w:link w:val="7"/>
    <w:uiPriority w:val="9"/>
    <w:qFormat/>
    <w:rsid w:val="00bb18d9"/>
    <w:pPr>
      <w:keepNext w:val="true"/>
      <w:keepLines/>
      <w:spacing w:lineRule="auto" w:line="240" w:before="200" w:after="0"/>
      <w:outlineLvl w:val="6"/>
    </w:pPr>
    <w:rPr>
      <w:rFonts w:ascii="Cambria" w:hAnsi="Cambria"/>
      <w:i/>
      <w:iCs/>
      <w:color w:val="404040"/>
      <w:sz w:val="20"/>
      <w:szCs w:val="20"/>
    </w:rPr>
  </w:style>
  <w:style w:type="paragraph" w:styleId="Heading8">
    <w:name w:val="Heading 8"/>
    <w:basedOn w:val="Normal"/>
    <w:next w:val="Normal"/>
    <w:link w:val="8"/>
    <w:uiPriority w:val="9"/>
    <w:qFormat/>
    <w:rsid w:val="00bb18d9"/>
    <w:pPr>
      <w:keepNext w:val="true"/>
      <w:keepLines/>
      <w:spacing w:lineRule="auto" w:line="240"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9"/>
    <w:uiPriority w:val="9"/>
    <w:qFormat/>
    <w:rsid w:val="00bb18d9"/>
    <w:pPr>
      <w:keepNext w:val="true"/>
      <w:keepLines/>
      <w:spacing w:lineRule="auto" w:line="240"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Annotationreference">
    <w:name w:val="annotation reference"/>
    <w:qFormat/>
    <w:rsid w:val="00cb04da"/>
    <w:rPr>
      <w:sz w:val="16"/>
      <w:szCs w:val="16"/>
    </w:rPr>
  </w:style>
  <w:style w:type="character" w:styleId="Style" w:customStyle="1">
    <w:name w:val="Текст примечания Знак"/>
    <w:link w:val="Annotationtext"/>
    <w:qFormat/>
    <w:rsid w:val="00cb04da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" w:customStyle="1">
    <w:name w:val="Текст выноски Знак"/>
    <w:link w:val="BalloonText"/>
    <w:uiPriority w:val="99"/>
    <w:semiHidden/>
    <w:qFormat/>
    <w:rsid w:val="00cb04da"/>
    <w:rPr>
      <w:rFonts w:ascii="Tahoma" w:hAnsi="Tahoma" w:cs="Tahoma"/>
      <w:sz w:val="16"/>
      <w:szCs w:val="16"/>
    </w:rPr>
  </w:style>
  <w:style w:type="character" w:styleId="2" w:customStyle="1">
    <w:name w:val="Заголовок 2 Знак"/>
    <w:uiPriority w:val="9"/>
    <w:qFormat/>
    <w:rsid w:val="00d4745f"/>
    <w:rPr>
      <w:rFonts w:ascii="Cambria" w:hAnsi="Cambria" w:eastAsia="Times New Roman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rsid w:val="00d4745f"/>
    <w:rPr>
      <w:color w:val="0000FF"/>
      <w:u w:val="single"/>
    </w:rPr>
  </w:style>
  <w:style w:type="character" w:styleId="Apple-style-span" w:customStyle="1">
    <w:name w:val="apple-style-span"/>
    <w:basedOn w:val="DefaultParagraphFont"/>
    <w:qFormat/>
    <w:rsid w:val="00b4339d"/>
    <w:rPr/>
  </w:style>
  <w:style w:type="character" w:styleId="Apple-converted-space" w:customStyle="1">
    <w:name w:val="apple-converted-space"/>
    <w:basedOn w:val="DefaultParagraphFont"/>
    <w:qFormat/>
    <w:rsid w:val="00b4339d"/>
    <w:rPr/>
  </w:style>
  <w:style w:type="character" w:styleId="Style2" w:customStyle="1">
    <w:name w:val="Текст сноски Знак"/>
    <w:uiPriority w:val="99"/>
    <w:qFormat/>
    <w:rsid w:val="0080406e"/>
    <w:rPr>
      <w:rFonts w:ascii="Times New Roman" w:hAnsi="Times New Roman" w:eastAsia="Calibri" w:cs="Times New Roman"/>
      <w:sz w:val="20"/>
      <w:szCs w:val="20"/>
      <w:lang w:eastAsia="ru-RU"/>
    </w:rPr>
  </w:style>
  <w:style w:type="character" w:styleId="Style3">
    <w:name w:val="Символ сноски"/>
    <w:uiPriority w:val="99"/>
    <w:unhideWhenUsed/>
    <w:qFormat/>
    <w:rsid w:val="0080406e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qFormat/>
    <w:rPr>
      <w:vertAlign w:val="superscript"/>
    </w:rPr>
  </w:style>
  <w:style w:type="character" w:styleId="1" w:customStyle="1">
    <w:name w:val="Подпункт Знак1"/>
    <w:link w:val="Style25"/>
    <w:qFormat/>
    <w:locked/>
    <w:rsid w:val="00192f26"/>
    <w:rPr>
      <w:rFonts w:ascii="Times New Roman" w:hAnsi="Times New Roman"/>
      <w:b/>
      <w:sz w:val="28"/>
    </w:rPr>
  </w:style>
  <w:style w:type="character" w:styleId="Style4" w:customStyle="1">
    <w:name w:val="Верхний колонтитул Знак"/>
    <w:basedOn w:val="DefaultParagraphFont"/>
    <w:uiPriority w:val="99"/>
    <w:qFormat/>
    <w:rsid w:val="00ff6229"/>
    <w:rPr/>
  </w:style>
  <w:style w:type="character" w:styleId="Style5" w:customStyle="1">
    <w:name w:val="Нижний колонтитул Знак"/>
    <w:basedOn w:val="DefaultParagraphFont"/>
    <w:uiPriority w:val="99"/>
    <w:qFormat/>
    <w:rsid w:val="00ff6229"/>
    <w:rPr/>
  </w:style>
  <w:style w:type="character" w:styleId="Linenumber">
    <w:name w:val="line number"/>
    <w:basedOn w:val="DefaultParagraphFont"/>
    <w:uiPriority w:val="99"/>
    <w:semiHidden/>
    <w:unhideWhenUsed/>
    <w:qFormat/>
    <w:rsid w:val="00ff6229"/>
    <w:rPr/>
  </w:style>
  <w:style w:type="character" w:styleId="Style6" w:customStyle="1">
    <w:name w:val="Схема документа Знак"/>
    <w:link w:val="DocumentMap"/>
    <w:uiPriority w:val="99"/>
    <w:semiHidden/>
    <w:qFormat/>
    <w:rsid w:val="0040689f"/>
    <w:rPr>
      <w:rFonts w:ascii="Tahoma" w:hAnsi="Tahoma" w:cs="Tahoma"/>
      <w:sz w:val="16"/>
      <w:szCs w:val="16"/>
    </w:rPr>
  </w:style>
  <w:style w:type="character" w:styleId="11" w:customStyle="1">
    <w:name w:val="Заголовок 1 Знак"/>
    <w:uiPriority w:val="9"/>
    <w:qFormat/>
    <w:rsid w:val="00bb18d9"/>
    <w:rPr>
      <w:rFonts w:ascii="Cambria" w:hAnsi="Cambria" w:eastAsia="Times New Roman" w:cs="Times New Roman"/>
      <w:b/>
      <w:bCs/>
      <w:color w:val="365F91"/>
      <w:sz w:val="28"/>
      <w:szCs w:val="28"/>
    </w:rPr>
  </w:style>
  <w:style w:type="character" w:styleId="3" w:customStyle="1">
    <w:name w:val="Заголовок 3 Знак"/>
    <w:uiPriority w:val="9"/>
    <w:qFormat/>
    <w:rsid w:val="00bb18d9"/>
    <w:rPr>
      <w:rFonts w:ascii="Cambria" w:hAnsi="Cambria" w:eastAsia="Times New Roman" w:cs="Times New Roman"/>
      <w:b/>
      <w:bCs/>
      <w:color w:val="4F81BD"/>
      <w:sz w:val="20"/>
      <w:szCs w:val="20"/>
    </w:rPr>
  </w:style>
  <w:style w:type="character" w:styleId="4" w:customStyle="1">
    <w:name w:val="Заголовок 4 Знак"/>
    <w:uiPriority w:val="9"/>
    <w:qFormat/>
    <w:rsid w:val="00bb18d9"/>
    <w:rPr>
      <w:rFonts w:ascii="Cambria" w:hAnsi="Cambria" w:eastAsia="Times New Roman" w:cs="Times New Roman"/>
      <w:b/>
      <w:bCs/>
      <w:i/>
      <w:iCs/>
      <w:color w:val="4F81BD"/>
      <w:sz w:val="20"/>
      <w:szCs w:val="20"/>
    </w:rPr>
  </w:style>
  <w:style w:type="character" w:styleId="5" w:customStyle="1">
    <w:name w:val="Заголовок 5 Знак"/>
    <w:uiPriority w:val="9"/>
    <w:qFormat/>
    <w:rsid w:val="00bb18d9"/>
    <w:rPr>
      <w:rFonts w:ascii="Cambria" w:hAnsi="Cambria" w:eastAsia="Times New Roman" w:cs="Times New Roman"/>
      <w:color w:val="243F60"/>
      <w:sz w:val="20"/>
      <w:szCs w:val="20"/>
    </w:rPr>
  </w:style>
  <w:style w:type="character" w:styleId="6" w:customStyle="1">
    <w:name w:val="Заголовок 6 Знак"/>
    <w:uiPriority w:val="9"/>
    <w:qFormat/>
    <w:rsid w:val="00bb18d9"/>
    <w:rPr>
      <w:rFonts w:ascii="Cambria" w:hAnsi="Cambria" w:eastAsia="Times New Roman" w:cs="Times New Roman"/>
      <w:i/>
      <w:iCs/>
      <w:color w:val="243F60"/>
      <w:sz w:val="20"/>
      <w:szCs w:val="20"/>
    </w:rPr>
  </w:style>
  <w:style w:type="character" w:styleId="7" w:customStyle="1">
    <w:name w:val="Заголовок 7 Знак"/>
    <w:uiPriority w:val="9"/>
    <w:qFormat/>
    <w:rsid w:val="00bb18d9"/>
    <w:rPr>
      <w:rFonts w:ascii="Cambria" w:hAnsi="Cambria" w:eastAsia="Times New Roman" w:cs="Times New Roman"/>
      <w:i/>
      <w:iCs/>
      <w:color w:val="404040"/>
      <w:sz w:val="20"/>
      <w:szCs w:val="20"/>
    </w:rPr>
  </w:style>
  <w:style w:type="character" w:styleId="8" w:customStyle="1">
    <w:name w:val="Заголовок 8 Знак"/>
    <w:uiPriority w:val="9"/>
    <w:qFormat/>
    <w:rsid w:val="00bb18d9"/>
    <w:rPr>
      <w:rFonts w:ascii="Cambria" w:hAnsi="Cambria" w:eastAsia="Times New Roman" w:cs="Times New Roman"/>
      <w:color w:val="4F81BD"/>
      <w:sz w:val="20"/>
      <w:szCs w:val="20"/>
    </w:rPr>
  </w:style>
  <w:style w:type="character" w:styleId="9" w:customStyle="1">
    <w:name w:val="Заголовок 9 Знак"/>
    <w:uiPriority w:val="9"/>
    <w:qFormat/>
    <w:rsid w:val="00bb18d9"/>
    <w:rPr>
      <w:rFonts w:ascii="Cambria" w:hAnsi="Cambria" w:eastAsia="Times New Roman" w:cs="Times New Roman"/>
      <w:i/>
      <w:iCs/>
      <w:color w:val="404040"/>
      <w:sz w:val="20"/>
      <w:szCs w:val="20"/>
    </w:rPr>
  </w:style>
  <w:style w:type="character" w:styleId="Style7" w:customStyle="1">
    <w:name w:val="Название Знак"/>
    <w:link w:val="15"/>
    <w:uiPriority w:val="10"/>
    <w:qFormat/>
    <w:rsid w:val="00bb18d9"/>
    <w:rPr>
      <w:rFonts w:ascii="Cambria" w:hAnsi="Cambria" w:eastAsia="Times New Roman" w:cs="Times New Roman"/>
      <w:color w:val="17365D"/>
      <w:spacing w:val="5"/>
      <w:kern w:val="2"/>
      <w:sz w:val="52"/>
      <w:szCs w:val="52"/>
    </w:rPr>
  </w:style>
  <w:style w:type="character" w:styleId="Style8" w:customStyle="1">
    <w:name w:val="Подзаголовок Знак"/>
    <w:uiPriority w:val="11"/>
    <w:qFormat/>
    <w:rsid w:val="00bb18d9"/>
    <w:rPr>
      <w:rFonts w:ascii="Cambria" w:hAnsi="Cambria" w:eastAsia="Times New Roman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uiPriority w:val="22"/>
    <w:qFormat/>
    <w:rsid w:val="00bb18d9"/>
    <w:rPr>
      <w:b/>
      <w:bCs/>
    </w:rPr>
  </w:style>
  <w:style w:type="character" w:styleId="Emphasis">
    <w:name w:val="Emphasis"/>
    <w:uiPriority w:val="20"/>
    <w:qFormat/>
    <w:rsid w:val="00bb18d9"/>
    <w:rPr>
      <w:i/>
      <w:iCs/>
    </w:rPr>
  </w:style>
  <w:style w:type="character" w:styleId="21" w:customStyle="1">
    <w:name w:val="Цитата 2 Знак"/>
    <w:link w:val="Quote"/>
    <w:uiPriority w:val="29"/>
    <w:qFormat/>
    <w:rsid w:val="00bb18d9"/>
    <w:rPr>
      <w:rFonts w:ascii="Calibri" w:hAnsi="Calibri" w:eastAsia="Calibri" w:cs="Times New Roman"/>
      <w:i/>
      <w:iCs/>
      <w:color w:val="000000"/>
      <w:sz w:val="20"/>
      <w:szCs w:val="20"/>
    </w:rPr>
  </w:style>
  <w:style w:type="character" w:styleId="Style9" w:customStyle="1">
    <w:name w:val="Выделенная цитата Знак"/>
    <w:link w:val="IntenseQuote"/>
    <w:uiPriority w:val="30"/>
    <w:qFormat/>
    <w:rsid w:val="00bb18d9"/>
    <w:rPr>
      <w:rFonts w:ascii="Calibri" w:hAnsi="Calibri" w:eastAsia="Calibri" w:cs="Times New Roman"/>
      <w:b/>
      <w:bCs/>
      <w:i/>
      <w:iCs/>
      <w:color w:val="4F81BD"/>
      <w:sz w:val="20"/>
      <w:szCs w:val="20"/>
    </w:rPr>
  </w:style>
  <w:style w:type="character" w:styleId="SubtleEmphasis">
    <w:name w:val="Subtle Emphasis"/>
    <w:uiPriority w:val="19"/>
    <w:qFormat/>
    <w:rsid w:val="00bb18d9"/>
    <w:rPr>
      <w:i/>
      <w:iCs/>
      <w:color w:val="808080"/>
    </w:rPr>
  </w:style>
  <w:style w:type="character" w:styleId="IntenseEmphasis">
    <w:name w:val="Intense Emphasis"/>
    <w:uiPriority w:val="21"/>
    <w:qFormat/>
    <w:rsid w:val="00bb18d9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bb18d9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bb18d9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bb18d9"/>
    <w:rPr>
      <w:b/>
      <w:bCs/>
      <w:smallCaps/>
      <w:spacing w:val="5"/>
    </w:rPr>
  </w:style>
  <w:style w:type="character" w:styleId="Style10" w:customStyle="1">
    <w:name w:val="Электронная подпись Знак"/>
    <w:link w:val="E-mailSignature"/>
    <w:uiPriority w:val="99"/>
    <w:semiHidden/>
    <w:qFormat/>
    <w:rsid w:val="00bb18d9"/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Style11" w:customStyle="1">
    <w:name w:val="Тема примечания Знак"/>
    <w:link w:val="Annotationsubject"/>
    <w:semiHidden/>
    <w:qFormat/>
    <w:rsid w:val="00bb18d9"/>
    <w:rPr>
      <w:rFonts w:ascii="Times New Roman" w:hAnsi="Times New Roman" w:eastAsia="Calibri" w:cs="Times New Roman"/>
      <w:b/>
      <w:bCs/>
      <w:sz w:val="20"/>
      <w:szCs w:val="20"/>
      <w:lang w:eastAsia="ru-RU"/>
    </w:rPr>
  </w:style>
  <w:style w:type="character" w:styleId="Style12" w:customStyle="1">
    <w:name w:val="Основной текст с отступом Знак"/>
    <w:qFormat/>
    <w:rsid w:val="008757e8"/>
    <w:rPr>
      <w:rFonts w:ascii="Times New Roman" w:hAnsi="Times New Roman" w:eastAsia="Times New Roman" w:cs="Times New Roman"/>
      <w:sz w:val="28"/>
      <w:szCs w:val="28"/>
      <w:lang w:eastAsia="ru-RU"/>
    </w:rPr>
  </w:style>
  <w:style w:type="character" w:styleId="FollowedHyperlink">
    <w:name w:val="FollowedHyperlink"/>
    <w:uiPriority w:val="99"/>
    <w:semiHidden/>
    <w:unhideWhenUsed/>
    <w:rsid w:val="00b211e3"/>
    <w:rPr>
      <w:color w:val="954F72"/>
      <w:u w:val="single"/>
    </w:rPr>
  </w:style>
  <w:style w:type="character" w:styleId="Style13" w:customStyle="1">
    <w:name w:val="Абзац списка Знак"/>
    <w:link w:val="ListParagraph"/>
    <w:uiPriority w:val="34"/>
    <w:qFormat/>
    <w:rsid w:val="00253374"/>
    <w:rPr>
      <w:sz w:val="22"/>
      <w:szCs w:val="22"/>
    </w:rPr>
  </w:style>
  <w:style w:type="character" w:styleId="61" w:customStyle="1">
    <w:name w:val="Основной текст (6)_"/>
    <w:basedOn w:val="DefaultParagraphFont"/>
    <w:link w:val="62"/>
    <w:qFormat/>
    <w:rsid w:val="00310980"/>
    <w:rPr>
      <w:rFonts w:ascii="Times New Roman" w:hAnsi="Times New Roman"/>
      <w:shd w:fill="FFFFFF" w:val="clear"/>
    </w:rPr>
  </w:style>
  <w:style w:type="character" w:styleId="Style14" w:customStyle="1">
    <w:name w:val="Колонтитул_"/>
    <w:basedOn w:val="DefaultParagraphFont"/>
    <w:link w:val="Style29"/>
    <w:qFormat/>
    <w:rsid w:val="006d08bc"/>
    <w:rPr>
      <w:rFonts w:ascii="Times New Roman" w:hAnsi="Times New Roman"/>
      <w:shd w:fill="FFFFFF" w:val="clear"/>
    </w:rPr>
  </w:style>
  <w:style w:type="character" w:styleId="Style15" w:customStyle="1">
    <w:name w:val="комментарий"/>
    <w:qFormat/>
    <w:rsid w:val="008d2ec1"/>
    <w:rPr>
      <w:b/>
      <w:i/>
      <w:shd w:fill="FFFF99" w:val="clear"/>
    </w:rPr>
  </w:style>
  <w:style w:type="character" w:styleId="ConsPlusNormal" w:customStyle="1">
    <w:name w:val="ConsPlusNormal Знак"/>
    <w:link w:val="ConsPlusNormal1"/>
    <w:qFormat/>
    <w:rsid w:val="00170c47"/>
    <w:rPr>
      <w:rFonts w:ascii="Arial" w:hAnsi="Arial" w:cs="Arial"/>
    </w:rPr>
  </w:style>
  <w:style w:type="character" w:styleId="12" w:customStyle="1">
    <w:name w:val="Абзац списка Знак1"/>
    <w:basedOn w:val="DefaultParagraphFont"/>
    <w:uiPriority w:val="34"/>
    <w:qFormat/>
    <w:rsid w:val="00a270f3"/>
    <w:rPr>
      <w:rFonts w:ascii="Calibri" w:hAnsi="Calibri"/>
      <w:sz w:val="22"/>
    </w:rPr>
  </w:style>
  <w:style w:type="character" w:styleId="Style16" w:customStyle="1">
    <w:name w:val="Текст концевой сноски Знак"/>
    <w:basedOn w:val="DefaultParagraphFont"/>
    <w:uiPriority w:val="99"/>
    <w:semiHidden/>
    <w:qFormat/>
    <w:rsid w:val="00dc37db"/>
    <w:rPr/>
  </w:style>
  <w:style w:type="character" w:styleId="Style17">
    <w:name w:val="Символ концевой сноски"/>
    <w:uiPriority w:val="99"/>
    <w:semiHidden/>
    <w:unhideWhenUsed/>
    <w:qFormat/>
    <w:rsid w:val="00dc37db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EndnoteCharacters">
    <w:name w:val="Endnote Characters"/>
    <w:qFormat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qFormat/>
    <w:rsid w:val="00470434"/>
    <w:rPr>
      <w:color w:val="808080"/>
    </w:rPr>
  </w:style>
  <w:style w:type="character" w:styleId="Style18" w:customStyle="1">
    <w:name w:val="РГ_номер текста табл Знак"/>
    <w:basedOn w:val="12"/>
    <w:link w:val="Style34"/>
    <w:qFormat/>
    <w:rsid w:val="00470434"/>
    <w:rPr>
      <w:rFonts w:ascii="Calibri" w:hAnsi="Calibri" w:eastAsia="Calibri" w:cs="Calibri" w:asciiTheme="minorHAnsi" w:cstheme="minorHAnsi" w:hAnsiTheme="minorHAnsi"/>
      <w:sz w:val="24"/>
      <w:szCs w:val="22"/>
      <w:lang w:eastAsia="en-US"/>
    </w:rPr>
  </w:style>
  <w:style w:type="paragraph" w:styleId="Style1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cs="Lohit Devanagari"/>
    </w:rPr>
  </w:style>
  <w:style w:type="paragraph" w:styleId="ListParagraph">
    <w:name w:val="List Paragraph"/>
    <w:basedOn w:val="Normal"/>
    <w:link w:val="Style13"/>
    <w:uiPriority w:val="34"/>
    <w:qFormat/>
    <w:rsid w:val="00141d91"/>
    <w:pPr>
      <w:spacing w:before="0" w:after="200"/>
      <w:ind w:left="720" w:hanging="0"/>
      <w:contextualSpacing/>
    </w:pPr>
    <w:rPr/>
  </w:style>
  <w:style w:type="paragraph" w:styleId="Annotationtext">
    <w:name w:val="annotation text"/>
    <w:basedOn w:val="Normal"/>
    <w:link w:val="Style"/>
    <w:qFormat/>
    <w:rsid w:val="00cb04da"/>
    <w:pPr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BalloonText">
    <w:name w:val="Balloon Text"/>
    <w:basedOn w:val="Normal"/>
    <w:link w:val="Style1"/>
    <w:semiHidden/>
    <w:unhideWhenUsed/>
    <w:qFormat/>
    <w:rsid w:val="00cb04da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21" w:customStyle="1">
    <w:name w:val="Обычный+ без отступа"/>
    <w:basedOn w:val="Normal"/>
    <w:qFormat/>
    <w:rsid w:val="000a41f8"/>
    <w:pPr>
      <w:spacing w:lineRule="auto" w:line="360" w:before="120" w:after="0"/>
      <w:jc w:val="both"/>
    </w:pPr>
    <w:rPr>
      <w:rFonts w:ascii="Times New Roman" w:hAnsi="Times New Roman" w:eastAsia="MS Mincho"/>
      <w:sz w:val="28"/>
      <w:szCs w:val="28"/>
    </w:rPr>
  </w:style>
  <w:style w:type="paragraph" w:styleId="Style22" w:customStyle="1">
    <w:name w:val="Таблица шапка"/>
    <w:basedOn w:val="Normal"/>
    <w:qFormat/>
    <w:rsid w:val="008b7e3f"/>
    <w:pPr>
      <w:keepNext w:val="true"/>
      <w:spacing w:lineRule="auto" w:line="240" w:before="40" w:after="40"/>
      <w:ind w:left="57" w:right="57" w:hanging="0"/>
    </w:pPr>
    <w:rPr>
      <w:rFonts w:ascii="Times New Roman" w:hAnsi="Times New Roman"/>
      <w:sz w:val="18"/>
      <w:szCs w:val="18"/>
    </w:rPr>
  </w:style>
  <w:style w:type="paragraph" w:styleId="Style23" w:customStyle="1">
    <w:name w:val="Текст таблицы"/>
    <w:basedOn w:val="Normal"/>
    <w:qFormat/>
    <w:rsid w:val="008b7e3f"/>
    <w:pPr>
      <w:spacing w:lineRule="auto" w:line="240" w:before="40" w:after="40"/>
      <w:ind w:left="57" w:right="57" w:hanging="0"/>
    </w:pPr>
    <w:rPr>
      <w:rFonts w:ascii="Times New Roman" w:hAnsi="Times New Roman"/>
      <w:sz w:val="24"/>
      <w:szCs w:val="24"/>
    </w:rPr>
  </w:style>
  <w:style w:type="paragraph" w:styleId="Style24" w:customStyle="1">
    <w:name w:val="Пункт Знак"/>
    <w:basedOn w:val="Normal"/>
    <w:qFormat/>
    <w:rsid w:val="00112ebd"/>
    <w:pPr>
      <w:numPr>
        <w:ilvl w:val="1"/>
        <w:numId w:val="1"/>
      </w:numPr>
      <w:tabs>
        <w:tab w:val="clear" w:pos="709"/>
        <w:tab w:val="left" w:pos="851" w:leader="none"/>
        <w:tab w:val="left" w:pos="1134" w:leader="none"/>
      </w:tabs>
      <w:spacing w:lineRule="auto" w:line="360" w:before="0" w:after="0"/>
      <w:jc w:val="both"/>
    </w:pPr>
    <w:rPr>
      <w:rFonts w:ascii="Times New Roman" w:hAnsi="Times New Roman"/>
      <w:b/>
      <w:sz w:val="28"/>
      <w:szCs w:val="20"/>
    </w:rPr>
  </w:style>
  <w:style w:type="paragraph" w:styleId="Style25" w:customStyle="1">
    <w:name w:val="Подпункт"/>
    <w:basedOn w:val="Style24"/>
    <w:link w:val="1"/>
    <w:qFormat/>
    <w:rsid w:val="00b5006b"/>
    <w:pPr>
      <w:tabs>
        <w:tab w:val="clear" w:pos="1134"/>
        <w:tab w:val="left" w:pos="851" w:leader="none"/>
      </w:tabs>
    </w:pPr>
    <w:rPr/>
  </w:style>
  <w:style w:type="paragraph" w:styleId="Style26" w:customStyle="1">
    <w:name w:val="Подподпункт"/>
    <w:basedOn w:val="Style25"/>
    <w:qFormat/>
    <w:rsid w:val="00b5006b"/>
    <w:pPr>
      <w:tabs>
        <w:tab w:val="left" w:pos="851" w:leader="none"/>
        <w:tab w:val="left" w:pos="1134" w:leader="none"/>
        <w:tab w:val="left" w:pos="1418" w:leader="none"/>
      </w:tabs>
    </w:pPr>
    <w:rPr/>
  </w:style>
  <w:style w:type="paragraph" w:styleId="Style27" w:customStyle="1">
    <w:name w:val="Подподподпункт"/>
    <w:basedOn w:val="Normal"/>
    <w:qFormat/>
    <w:rsid w:val="00112ebd"/>
    <w:pPr>
      <w:numPr>
        <w:ilvl w:val="4"/>
        <w:numId w:val="1"/>
      </w:numPr>
      <w:tabs>
        <w:tab w:val="clear" w:pos="709"/>
        <w:tab w:val="left" w:pos="1134" w:leader="none"/>
        <w:tab w:val="left" w:pos="1701" w:leader="none"/>
      </w:tabs>
      <w:spacing w:lineRule="auto" w:line="360" w:before="0" w:after="0"/>
      <w:jc w:val="both"/>
    </w:pPr>
    <w:rPr>
      <w:rFonts w:ascii="Times New Roman" w:hAnsi="Times New Roman"/>
      <w:sz w:val="28"/>
      <w:szCs w:val="20"/>
    </w:rPr>
  </w:style>
  <w:style w:type="paragraph" w:styleId="13" w:customStyle="1">
    <w:name w:val="Пункт1"/>
    <w:basedOn w:val="Normal"/>
    <w:qFormat/>
    <w:rsid w:val="00b5006b"/>
    <w:pPr>
      <w:numPr>
        <w:ilvl w:val="0"/>
        <w:numId w:val="1"/>
      </w:numPr>
      <w:spacing w:lineRule="auto" w:line="360" w:before="240" w:after="0"/>
      <w:jc w:val="center"/>
    </w:pPr>
    <w:rPr>
      <w:rFonts w:ascii="Arial" w:hAnsi="Arial"/>
      <w:b/>
      <w:sz w:val="28"/>
      <w:szCs w:val="28"/>
    </w:rPr>
  </w:style>
  <w:style w:type="paragraph" w:styleId="31" w:customStyle="1">
    <w:name w:val="Пункт_3"/>
    <w:basedOn w:val="Normal"/>
    <w:uiPriority w:val="99"/>
    <w:qFormat/>
    <w:rsid w:val="00112ebd"/>
    <w:pPr>
      <w:tabs>
        <w:tab w:val="clear" w:pos="709"/>
        <w:tab w:val="left" w:pos="1134" w:leader="none"/>
      </w:tabs>
      <w:spacing w:lineRule="auto" w:line="360" w:before="0" w:after="0"/>
      <w:ind w:left="1134" w:hanging="1133"/>
      <w:jc w:val="both"/>
    </w:pPr>
    <w:rPr>
      <w:rFonts w:ascii="Times New Roman" w:hAnsi="Times New Roman"/>
      <w:sz w:val="28"/>
      <w:szCs w:val="20"/>
    </w:rPr>
  </w:style>
  <w:style w:type="paragraph" w:styleId="TOC1">
    <w:name w:val="TOC 1"/>
    <w:basedOn w:val="Normal"/>
    <w:next w:val="Normal"/>
    <w:autoRedefine/>
    <w:uiPriority w:val="39"/>
    <w:rsid w:val="00b17e73"/>
    <w:pPr>
      <w:tabs>
        <w:tab w:val="clear" w:pos="709"/>
        <w:tab w:val="right" w:pos="9344" w:leader="dot"/>
      </w:tabs>
      <w:spacing w:lineRule="auto" w:line="240" w:before="0" w:after="0"/>
      <w:jc w:val="center"/>
    </w:pPr>
    <w:rPr>
      <w:rFonts w:ascii="Times New Roman" w:hAnsi="Times New Roman"/>
      <w:b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b87d05"/>
    <w:pPr>
      <w:tabs>
        <w:tab w:val="clear" w:pos="709"/>
        <w:tab w:val="left" w:pos="426" w:leader="none"/>
        <w:tab w:val="left" w:pos="1680" w:leader="none"/>
        <w:tab w:val="right" w:pos="9344" w:leader="dot"/>
        <w:tab w:val="right" w:pos="9639" w:leader="dot"/>
      </w:tabs>
      <w:spacing w:before="0" w:after="0"/>
      <w:ind w:left="220" w:hanging="0"/>
    </w:pPr>
    <w:rPr/>
  </w:style>
  <w:style w:type="paragraph" w:styleId="FootnoteText">
    <w:name w:val="Footnote Text"/>
    <w:basedOn w:val="Normal"/>
    <w:link w:val="Style2"/>
    <w:uiPriority w:val="99"/>
    <w:unhideWhenUsed/>
    <w:rsid w:val="0080406e"/>
    <w:pPr>
      <w:spacing w:lineRule="auto" w:line="240" w:before="0" w:after="0"/>
    </w:pPr>
    <w:rPr>
      <w:rFonts w:ascii="Times New Roman" w:hAnsi="Times New Roman" w:eastAsia="Calibri"/>
      <w:sz w:val="20"/>
      <w:szCs w:val="20"/>
    </w:rPr>
  </w:style>
  <w:style w:type="paragraph" w:styleId="ConsPlusNormal1" w:customStyle="1">
    <w:name w:val="ConsPlusNormal"/>
    <w:link w:val="ConsPlusNormal"/>
    <w:qFormat/>
    <w:rsid w:val="00192f26"/>
    <w:pPr>
      <w:widowControl w:val="false"/>
      <w:suppressAutoHyphens w:val="true"/>
      <w:bidi w:val="0"/>
      <w:spacing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Style28" w:customStyle="1">
    <w:name w:val="Таблица"/>
    <w:basedOn w:val="Normal"/>
    <w:qFormat/>
    <w:rsid w:val="00192f26"/>
    <w:pPr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14" w:customStyle="1">
    <w:name w:val="Абзац списка1"/>
    <w:basedOn w:val="Normal"/>
    <w:qFormat/>
    <w:rsid w:val="00192f26"/>
    <w:pPr>
      <w:spacing w:before="0" w:after="200"/>
      <w:ind w:left="720" w:hanging="0"/>
      <w:contextualSpacing/>
    </w:pPr>
    <w:rPr/>
  </w:style>
  <w:style w:type="paragraph" w:styleId="Style29" w:customStyle="1">
    <w:name w:val="Колонтитул"/>
    <w:basedOn w:val="Normal"/>
    <w:link w:val="Style14"/>
    <w:qFormat/>
    <w:rsid w:val="006d08bc"/>
    <w:pPr>
      <w:widowControl w:val="false"/>
      <w:shd w:val="clear" w:color="auto" w:fill="FFFFFF"/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Style4"/>
    <w:uiPriority w:val="99"/>
    <w:unhideWhenUsed/>
    <w:rsid w:val="00ff6229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Style5"/>
    <w:uiPriority w:val="99"/>
    <w:unhideWhenUsed/>
    <w:rsid w:val="00ff6229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DocumentMap">
    <w:name w:val="Document Map"/>
    <w:basedOn w:val="Normal"/>
    <w:link w:val="Style6"/>
    <w:uiPriority w:val="99"/>
    <w:semiHidden/>
    <w:unhideWhenUsed/>
    <w:qFormat/>
    <w:rsid w:val="0040689f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30" w:customStyle="1">
    <w:name w:val="Знак Знак Знак Знак Знак Знак Знак Знак Знак"/>
    <w:basedOn w:val="Normal"/>
    <w:qFormat/>
    <w:rsid w:val="00bb18d9"/>
    <w:pPr>
      <w:spacing w:lineRule="exact" w:line="240" w:before="0" w:after="160"/>
      <w:jc w:val="both"/>
    </w:pPr>
    <w:rPr>
      <w:rFonts w:ascii="Verdana" w:hAnsi="Verdana" w:cs="Verdana"/>
      <w:lang w:val="en-US"/>
    </w:rPr>
  </w:style>
  <w:style w:type="paragraph" w:styleId="NoSpacing">
    <w:name w:val="No Spacing"/>
    <w:basedOn w:val="Normal"/>
    <w:uiPriority w:val="1"/>
    <w:qFormat/>
    <w:rsid w:val="00bb18d9"/>
    <w:pPr>
      <w:spacing w:lineRule="auto" w:line="360" w:before="0" w:after="0"/>
    </w:pPr>
    <w:rPr>
      <w:rFonts w:ascii="Times New Roman" w:hAnsi="Times New Roman" w:eastAsia="Calibri"/>
      <w:sz w:val="24"/>
      <w:szCs w:val="24"/>
    </w:rPr>
  </w:style>
  <w:style w:type="paragraph" w:styleId="Caption1">
    <w:name w:val="caption1"/>
    <w:basedOn w:val="Normal"/>
    <w:next w:val="Normal"/>
    <w:uiPriority w:val="35"/>
    <w:qFormat/>
    <w:rsid w:val="00bb18d9"/>
    <w:pPr>
      <w:spacing w:lineRule="auto" w:line="240" w:before="0" w:after="0"/>
    </w:pPr>
    <w:rPr>
      <w:rFonts w:ascii="Times New Roman" w:hAnsi="Times New Roman" w:eastAsia="Calibri"/>
      <w:b/>
      <w:bCs/>
      <w:color w:val="4F81BD"/>
      <w:sz w:val="18"/>
      <w:szCs w:val="18"/>
    </w:rPr>
  </w:style>
  <w:style w:type="paragraph" w:styleId="15" w:customStyle="1">
    <w:name w:val="Название1"/>
    <w:basedOn w:val="Normal"/>
    <w:next w:val="Normal"/>
    <w:link w:val="Style7"/>
    <w:uiPriority w:val="10"/>
    <w:qFormat/>
    <w:rsid w:val="00bb18d9"/>
    <w:pPr>
      <w:pBdr>
        <w:bottom w:val="single" w:sz="8" w:space="4" w:color="4F81BD"/>
      </w:pBdr>
      <w:spacing w:lineRule="auto" w:line="240" w:before="0" w:after="300"/>
      <w:contextualSpacing/>
    </w:pPr>
    <w:rPr>
      <w:rFonts w:ascii="Cambria" w:hAnsi="Cambria"/>
      <w:color w:val="17365D"/>
      <w:spacing w:val="5"/>
      <w:kern w:val="2"/>
      <w:sz w:val="52"/>
      <w:szCs w:val="52"/>
    </w:rPr>
  </w:style>
  <w:style w:type="paragraph" w:styleId="Subtitle">
    <w:name w:val="Subtitle"/>
    <w:basedOn w:val="Normal"/>
    <w:next w:val="Normal"/>
    <w:link w:val="Style8"/>
    <w:uiPriority w:val="11"/>
    <w:qFormat/>
    <w:rsid w:val="00bb18d9"/>
    <w:pPr>
      <w:spacing w:lineRule="auto" w:line="240" w:before="0" w:after="0"/>
      <w:ind w:left="1066" w:firstLine="709"/>
    </w:pPr>
    <w:rPr>
      <w:rFonts w:ascii="Cambria" w:hAnsi="Cambria"/>
      <w:i/>
      <w:iCs/>
      <w:color w:val="4F81BD"/>
      <w:spacing w:val="15"/>
      <w:sz w:val="24"/>
      <w:szCs w:val="24"/>
    </w:rPr>
  </w:style>
  <w:style w:type="paragraph" w:styleId="Quote">
    <w:name w:val="Quote"/>
    <w:basedOn w:val="Normal"/>
    <w:next w:val="Normal"/>
    <w:link w:val="21"/>
    <w:uiPriority w:val="29"/>
    <w:qFormat/>
    <w:rsid w:val="00bb18d9"/>
    <w:pPr>
      <w:spacing w:lineRule="auto" w:line="240" w:before="0" w:after="0"/>
    </w:pPr>
    <w:rPr>
      <w:rFonts w:eastAsia="Calibri"/>
      <w:i/>
      <w:iCs/>
      <w:color w:val="000000"/>
      <w:sz w:val="20"/>
      <w:szCs w:val="20"/>
    </w:rPr>
  </w:style>
  <w:style w:type="paragraph" w:styleId="IntenseQuote">
    <w:name w:val="Intense Quote"/>
    <w:basedOn w:val="Normal"/>
    <w:next w:val="Normal"/>
    <w:link w:val="Style9"/>
    <w:uiPriority w:val="30"/>
    <w:qFormat/>
    <w:rsid w:val="00bb18d9"/>
    <w:pPr>
      <w:pBdr>
        <w:bottom w:val="single" w:sz="4" w:space="4" w:color="4F81BD"/>
      </w:pBdr>
      <w:spacing w:lineRule="auto" w:line="240" w:before="200" w:after="280"/>
      <w:ind w:left="936" w:right="936" w:hanging="0"/>
    </w:pPr>
    <w:rPr>
      <w:rFonts w:eastAsia="Calibri"/>
      <w:b/>
      <w:bCs/>
      <w:i/>
      <w:iCs/>
      <w:color w:val="4F81BD"/>
      <w:sz w:val="20"/>
      <w:szCs w:val="20"/>
    </w:rPr>
  </w:style>
  <w:style w:type="paragraph" w:styleId="IndexHeading">
    <w:name w:val="Index Heading"/>
    <w:basedOn w:val="Style19"/>
    <w:pPr/>
    <w:rPr/>
  </w:style>
  <w:style w:type="paragraph" w:styleId="TOCHeading">
    <w:name w:val="TOC Heading"/>
    <w:basedOn w:val="Heading1"/>
    <w:next w:val="Normal"/>
    <w:uiPriority w:val="39"/>
    <w:qFormat/>
    <w:rsid w:val="00bb18d9"/>
    <w:pPr>
      <w:outlineLvl w:val="9"/>
    </w:pPr>
    <w:rPr/>
  </w:style>
  <w:style w:type="paragraph" w:styleId="E-mailSignature">
    <w:name w:val="E-mail Signature"/>
    <w:basedOn w:val="Normal"/>
    <w:link w:val="Style10"/>
    <w:uiPriority w:val="99"/>
    <w:semiHidden/>
    <w:unhideWhenUsed/>
    <w:qFormat/>
    <w:rsid w:val="00bb18d9"/>
    <w:pPr>
      <w:spacing w:lineRule="auto" w:line="240" w:before="0" w:after="0"/>
    </w:pPr>
    <w:rPr>
      <w:rFonts w:ascii="Times New Roman" w:hAnsi="Times New Roman" w:eastAsia="Calibri"/>
      <w:sz w:val="24"/>
      <w:szCs w:val="24"/>
    </w:rPr>
  </w:style>
  <w:style w:type="paragraph" w:styleId="Style31" w:customStyle="1">
    <w:name w:val="Знак"/>
    <w:basedOn w:val="Normal"/>
    <w:qFormat/>
    <w:rsid w:val="00bb18d9"/>
    <w:pPr>
      <w:spacing w:lineRule="exact" w:line="240" w:before="0" w:after="160"/>
    </w:pPr>
    <w:rPr>
      <w:rFonts w:ascii="Verdana" w:hAnsi="Verdana" w:cs="Verdana"/>
      <w:sz w:val="20"/>
      <w:szCs w:val="20"/>
      <w:lang w:val="en-US"/>
    </w:rPr>
  </w:style>
  <w:style w:type="paragraph" w:styleId="Annotationsubject">
    <w:name w:val="annotation subject"/>
    <w:basedOn w:val="Annotationtext"/>
    <w:next w:val="Annotationtext"/>
    <w:link w:val="Style11"/>
    <w:semiHidden/>
    <w:qFormat/>
    <w:rsid w:val="00bb18d9"/>
    <w:pPr/>
    <w:rPr>
      <w:rFonts w:eastAsia="Calibri"/>
      <w:b/>
      <w:bCs/>
    </w:rPr>
  </w:style>
  <w:style w:type="paragraph" w:styleId="32" w:customStyle="1">
    <w:name w:val="Нумерованный список ур3"/>
    <w:basedOn w:val="Normal"/>
    <w:qFormat/>
    <w:rsid w:val="00bb18d9"/>
    <w:pPr>
      <w:numPr>
        <w:ilvl w:val="2"/>
        <w:numId w:val="2"/>
      </w:numPr>
      <w:spacing w:lineRule="auto" w:line="240" w:before="0" w:after="0"/>
      <w:jc w:val="both"/>
    </w:pPr>
    <w:rPr>
      <w:rFonts w:ascii="Garamond" w:hAnsi="Garamond"/>
      <w:sz w:val="24"/>
      <w:szCs w:val="20"/>
    </w:rPr>
  </w:style>
  <w:style w:type="paragraph" w:styleId="ListBullet4" w:customStyle="1">
    <w:name w:val="List Bullet 4"/>
    <w:basedOn w:val="Normal"/>
    <w:qFormat/>
    <w:rsid w:val="00b5006b"/>
    <w:pPr>
      <w:numPr>
        <w:ilvl w:val="0"/>
        <w:numId w:val="2"/>
      </w:numPr>
      <w:spacing w:lineRule="auto" w:line="240" w:before="120" w:after="0"/>
      <w:jc w:val="both"/>
    </w:pPr>
    <w:rPr>
      <w:rFonts w:ascii="Garamond" w:hAnsi="Garamond"/>
      <w:sz w:val="24"/>
      <w:szCs w:val="20"/>
    </w:rPr>
  </w:style>
  <w:style w:type="paragraph" w:styleId="22" w:customStyle="1">
    <w:name w:val="Нумерованный список ур2"/>
    <w:basedOn w:val="Normal"/>
    <w:qFormat/>
    <w:rsid w:val="00bb18d9"/>
    <w:pPr>
      <w:numPr>
        <w:ilvl w:val="1"/>
        <w:numId w:val="2"/>
      </w:numPr>
      <w:spacing w:lineRule="auto" w:line="240" w:before="120" w:after="0"/>
      <w:jc w:val="both"/>
    </w:pPr>
    <w:rPr>
      <w:rFonts w:ascii="Garamond" w:hAnsi="Garamond"/>
      <w:sz w:val="24"/>
      <w:szCs w:val="20"/>
    </w:rPr>
  </w:style>
  <w:style w:type="paragraph" w:styleId="NormalWeb">
    <w:name w:val="Normal (Web)"/>
    <w:basedOn w:val="Normal"/>
    <w:uiPriority w:val="99"/>
    <w:qFormat/>
    <w:rsid w:val="00bb18d9"/>
    <w:pPr>
      <w:spacing w:lineRule="auto" w:line="240" w:before="30" w:after="30"/>
    </w:pPr>
    <w:rPr>
      <w:rFonts w:ascii="Arial" w:hAnsi="Arial" w:eastAsia="Arial Unicode MS" w:cs="Arial"/>
      <w:color w:val="332E2D"/>
      <w:spacing w:val="2"/>
      <w:sz w:val="24"/>
      <w:szCs w:val="24"/>
    </w:rPr>
  </w:style>
  <w:style w:type="paragraph" w:styleId="Revision">
    <w:name w:val="Revision"/>
    <w:uiPriority w:val="99"/>
    <w:semiHidden/>
    <w:qFormat/>
    <w:rsid w:val="00bb18d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Calibri" w:cs="Times New Roman"/>
      <w:color w:val="auto"/>
      <w:kern w:val="0"/>
      <w:sz w:val="24"/>
      <w:szCs w:val="24"/>
      <w:lang w:val="ru-RU" w:eastAsia="ru-RU" w:bidi="ar-SA"/>
    </w:rPr>
  </w:style>
  <w:style w:type="paragraph" w:styleId="33" w:customStyle="1">
    <w:name w:val="Знак Знак3 Знак Знак"/>
    <w:basedOn w:val="Normal"/>
    <w:qFormat/>
    <w:rsid w:val="00bb18d9"/>
    <w:pPr>
      <w:spacing w:lineRule="exact" w:line="240" w:before="0" w:after="160"/>
      <w:jc w:val="both"/>
    </w:pPr>
    <w:rPr>
      <w:rFonts w:ascii="Verdana" w:hAnsi="Verdana" w:cs="Verdana"/>
      <w:lang w:val="en-US"/>
    </w:rPr>
  </w:style>
  <w:style w:type="paragraph" w:styleId="Style32" w:customStyle="1">
    <w:name w:val="Пункт"/>
    <w:basedOn w:val="Normal"/>
    <w:qFormat/>
    <w:rsid w:val="00bb18d9"/>
    <w:pPr>
      <w:widowControl w:val="false"/>
      <w:tabs>
        <w:tab w:val="clear" w:pos="709"/>
        <w:tab w:val="left" w:pos="1134" w:leader="none"/>
      </w:tabs>
      <w:spacing w:lineRule="auto" w:line="360" w:before="120" w:after="0"/>
      <w:ind w:left="1134" w:right="800" w:hanging="1134"/>
      <w:jc w:val="both"/>
    </w:pPr>
    <w:rPr>
      <w:rFonts w:ascii="Arial" w:hAnsi="Arial"/>
      <w:b/>
      <w:i/>
      <w:sz w:val="28"/>
      <w:szCs w:val="20"/>
    </w:rPr>
  </w:style>
  <w:style w:type="paragraph" w:styleId="23" w:customStyle="1">
    <w:name w:val="Абзац списка2"/>
    <w:basedOn w:val="Normal"/>
    <w:qFormat/>
    <w:rsid w:val="00bb18d9"/>
    <w:pPr>
      <w:spacing w:before="0" w:after="200"/>
      <w:ind w:left="720" w:hanging="0"/>
      <w:contextualSpacing/>
    </w:pPr>
    <w:rPr/>
  </w:style>
  <w:style w:type="paragraph" w:styleId="BodyTextIndent">
    <w:name w:val="Body Text Indent"/>
    <w:basedOn w:val="Normal"/>
    <w:link w:val="Style12"/>
    <w:rsid w:val="008757e8"/>
    <w:pPr>
      <w:spacing w:lineRule="auto" w:line="240" w:before="0" w:after="120"/>
      <w:ind w:left="283" w:hanging="0"/>
    </w:pPr>
    <w:rPr>
      <w:rFonts w:ascii="Times New Roman" w:hAnsi="Times New Roman"/>
      <w:sz w:val="28"/>
      <w:szCs w:val="28"/>
    </w:rPr>
  </w:style>
  <w:style w:type="paragraph" w:styleId="Style33" w:customStyle="1">
    <w:name w:val="Знак Знак"/>
    <w:basedOn w:val="Normal"/>
    <w:qFormat/>
    <w:rsid w:val="00d30377"/>
    <w:pPr>
      <w:spacing w:lineRule="exact" w:line="240" w:before="0" w:after="160"/>
    </w:pPr>
    <w:rPr>
      <w:rFonts w:ascii="Verdana" w:hAnsi="Verdana" w:cs="Verdana"/>
      <w:sz w:val="20"/>
      <w:szCs w:val="20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bb55ba"/>
    <w:pPr>
      <w:spacing w:before="0" w:after="100"/>
      <w:ind w:left="440" w:hanging="0"/>
    </w:pPr>
    <w:rPr/>
  </w:style>
  <w:style w:type="paragraph" w:styleId="62" w:customStyle="1">
    <w:name w:val="Основной текст (6)"/>
    <w:basedOn w:val="Normal"/>
    <w:link w:val="61"/>
    <w:qFormat/>
    <w:rsid w:val="00310980"/>
    <w:pPr>
      <w:widowControl w:val="false"/>
      <w:shd w:val="clear" w:color="auto" w:fill="FFFFFF"/>
      <w:spacing w:lineRule="auto" w:line="240" w:before="0" w:after="0"/>
      <w:ind w:firstLine="720"/>
      <w:jc w:val="both"/>
    </w:pPr>
    <w:rPr>
      <w:rFonts w:ascii="Times New Roman" w:hAnsi="Times New Roman"/>
      <w:sz w:val="20"/>
      <w:szCs w:val="20"/>
    </w:rPr>
  </w:style>
  <w:style w:type="paragraph" w:styleId="TableListParagraph" w:customStyle="1">
    <w:name w:val="Table List Paragraph"/>
    <w:basedOn w:val="Normal"/>
    <w:qFormat/>
    <w:rsid w:val="00a270f3"/>
    <w:pPr>
      <w:numPr>
        <w:ilvl w:val="0"/>
        <w:numId w:val="10"/>
      </w:numPr>
      <w:tabs>
        <w:tab w:val="clear" w:pos="709"/>
        <w:tab w:val="left" w:pos="360" w:leader="none"/>
      </w:tabs>
      <w:spacing w:lineRule="auto" w:line="240" w:before="0" w:after="0"/>
      <w:jc w:val="both"/>
    </w:pPr>
    <w:rPr>
      <w:rFonts w:ascii="Times New Roman" w:hAnsi="Times New Roman"/>
      <w:sz w:val="24"/>
      <w:szCs w:val="24"/>
    </w:rPr>
  </w:style>
  <w:style w:type="paragraph" w:styleId="ConsPlusNonformat" w:customStyle="1">
    <w:name w:val="ConsPlusNonformat"/>
    <w:basedOn w:val="Normal"/>
    <w:qFormat/>
    <w:rsid w:val="000753e1"/>
    <w:pPr>
      <w:spacing w:lineRule="auto" w:line="240" w:before="0" w:after="0"/>
    </w:pPr>
    <w:rPr>
      <w:rFonts w:ascii="Courier New" w:hAnsi="Courier New" w:eastAsia="Calibri" w:cs="Courier New" w:eastAsiaTheme="minorHAnsi"/>
      <w:sz w:val="20"/>
      <w:szCs w:val="20"/>
    </w:rPr>
  </w:style>
  <w:style w:type="paragraph" w:styleId="Dt-p" w:customStyle="1">
    <w:name w:val="dt-p"/>
    <w:basedOn w:val="Normal"/>
    <w:qFormat/>
    <w:rsid w:val="00a05152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Style16"/>
    <w:uiPriority w:val="99"/>
    <w:semiHidden/>
    <w:unhideWhenUsed/>
    <w:rsid w:val="00dc37db"/>
    <w:pPr>
      <w:spacing w:lineRule="auto" w:line="240" w:before="0" w:after="0"/>
    </w:pPr>
    <w:rPr>
      <w:sz w:val="20"/>
      <w:szCs w:val="20"/>
    </w:rPr>
  </w:style>
  <w:style w:type="paragraph" w:styleId="Style34" w:customStyle="1">
    <w:name w:val="РГ_номер текста табл"/>
    <w:basedOn w:val="ListParagraph"/>
    <w:link w:val="Style18"/>
    <w:qFormat/>
    <w:rsid w:val="00470434"/>
    <w:pPr>
      <w:numPr>
        <w:ilvl w:val="0"/>
        <w:numId w:val="11"/>
      </w:numPr>
      <w:spacing w:lineRule="auto" w:line="240" w:before="0" w:after="0"/>
      <w:contextualSpacing/>
      <w:jc w:val="both"/>
    </w:pPr>
    <w:rPr>
      <w:rFonts w:ascii="Calibri" w:hAnsi="Calibri" w:eastAsia="Calibri" w:cs="Calibri" w:asciiTheme="minorHAnsi" w:cstheme="minorHAnsi" w:hAnsiTheme="minorHAnsi"/>
      <w:sz w:val="24"/>
      <w:lang w:eastAsia="en-US"/>
    </w:rPr>
  </w:style>
  <w:style w:type="paragraph" w:styleId="111" w:customStyle="1">
    <w:name w:val="1.1. таблица"/>
    <w:basedOn w:val="Style34"/>
    <w:qFormat/>
    <w:rsid w:val="00470434"/>
    <w:pPr>
      <w:tabs>
        <w:tab w:val="clear" w:pos="709"/>
      </w:tabs>
      <w:ind w:left="1440" w:hanging="360"/>
    </w:pPr>
    <w:rPr/>
  </w:style>
  <w:style w:type="paragraph" w:styleId="Xmsolistparagraph" w:customStyle="1">
    <w:name w:val="x_msolistparagraph"/>
    <w:basedOn w:val="Normal"/>
    <w:qFormat/>
    <w:rsid w:val="001d51d9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Style35">
    <w:name w:val="Содержимое врезки"/>
    <w:basedOn w:val="Normal"/>
    <w:qFormat/>
    <w:pPr/>
    <w:rPr/>
  </w:style>
  <w:style w:type="paragraph" w:styleId="HEADERTEXT">
    <w:name w:val=".HEADERTEXT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NSimSun" w:cs="Arial"/>
      <w:color w:val="2B4279"/>
      <w:kern w:val="0"/>
      <w:sz w:val="20"/>
      <w:szCs w:val="20"/>
      <w:lang w:val="ru-RU" w:eastAsia="ru-RU" w:bidi="ar-SA"/>
    </w:rPr>
  </w:style>
  <w:style w:type="paragraph" w:styleId="FORMATTEXT">
    <w:name w:val=".FORMATTEXT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NSimSun" w:cs="Arial"/>
      <w:color w:val="auto"/>
      <w:kern w:val="0"/>
      <w:sz w:val="20"/>
      <w:szCs w:val="20"/>
      <w:lang w:val="ru-RU" w:eastAsia="ru-RU" w:bidi="ar-SA"/>
    </w:rPr>
  </w:style>
  <w:style w:type="paragraph" w:styleId="Style36">
    <w:name w:val="Содержимое таблицы"/>
    <w:basedOn w:val="Normal"/>
    <w:qFormat/>
    <w:pPr>
      <w:widowControl w:val="false"/>
      <w:suppressLineNumbers/>
    </w:pPr>
    <w:rPr/>
  </w:style>
  <w:style w:type="paragraph" w:styleId="Style37">
    <w:name w:val="Заголовок таблицы"/>
    <w:basedOn w:val="Style36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6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">
    <w:name w:val="Table Grid"/>
    <w:basedOn w:val="a6"/>
    <w:uiPriority w:val="39"/>
    <w:rsid w:val="00b9183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oter" Target="footer1.xml"/><Relationship Id="rId3" Type="http://schemas.openxmlformats.org/officeDocument/2006/relationships/package" Target="embeddings/oleObject1.xlsx"/><Relationship Id="rId4" Type="http://schemas.openxmlformats.org/officeDocument/2006/relationships/image" Target="media/image1.wmf"/><Relationship Id="rId5" Type="http://schemas.openxmlformats.org/officeDocument/2006/relationships/footer" Target="footer2.xml"/><Relationship Id="rId6" Type="http://schemas.openxmlformats.org/officeDocument/2006/relationships/footer" Target="footer3.xml"/><Relationship Id="rId7" Type="http://schemas.openxmlformats.org/officeDocument/2006/relationships/package" Target="embeddings/oleObject2.xlsx"/><Relationship Id="rId8" Type="http://schemas.openxmlformats.org/officeDocument/2006/relationships/image" Target="media/image2.wmf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footer" Target="footer6.xml"/><Relationship Id="rId12" Type="http://schemas.openxmlformats.org/officeDocument/2006/relationships/footer" Target="footer7.xml"/><Relationship Id="rId13" Type="http://schemas.openxmlformats.org/officeDocument/2006/relationships/footer" Target="footer8.xml"/><Relationship Id="rId14" Type="http://schemas.openxmlformats.org/officeDocument/2006/relationships/footer" Target="footer9.xml"/><Relationship Id="rId15" Type="http://schemas.openxmlformats.org/officeDocument/2006/relationships/footer" Target="footer10.xml"/><Relationship Id="rId16" Type="http://schemas.openxmlformats.org/officeDocument/2006/relationships/footer" Target="footer11.xml"/><Relationship Id="rId17" Type="http://schemas.openxmlformats.org/officeDocument/2006/relationships/footer" Target="footer12.xml"/><Relationship Id="rId18" Type="http://schemas.openxmlformats.org/officeDocument/2006/relationships/footer" Target="footer13.xml"/><Relationship Id="rId19" Type="http://schemas.openxmlformats.org/officeDocument/2006/relationships/hyperlink" Target="../../../../../../../../../tmp/&#1042;&#1080;&#1088;&#1072;&#1078;_&#1044;&#1072;&#1095;&#1085;&#1072;&#1103;/3&#1055;" TargetMode="External"/><Relationship Id="rId20" Type="http://schemas.openxmlformats.org/officeDocument/2006/relationships/footer" Target="footer14.xml"/><Relationship Id="rId21" Type="http://schemas.openxmlformats.org/officeDocument/2006/relationships/footer" Target="footer15.xml"/><Relationship Id="rId22" Type="http://schemas.openxmlformats.org/officeDocument/2006/relationships/hyperlink" Target="consultantplus://offline/ref=B32CDE0E905E401B1BFF323EF993DB2C6865F0A971913444C3F7F56C5AF257E783F32977DF4E2DA4F5ACBC60359FF614F9C1315096B586250A26N" TargetMode="External"/><Relationship Id="rId23" Type="http://schemas.openxmlformats.org/officeDocument/2006/relationships/hyperlink" Target="consultantplus://offline/ref=B32CDE0E905E401B1BFF323EF993DB2C6F6DF7AA75973444C3F7F56C5AF257E783F32977DC422FF8A5E3BD3C70CDE515FFC133518A0B25N" TargetMode="External"/><Relationship Id="rId24" Type="http://schemas.openxmlformats.org/officeDocument/2006/relationships/hyperlink" Target="consultantplus://offline/ref=B32CDE0E905E401B1BFF323EF993DB2C6865F0A971913444C3F7F56C5AF257E783F32977DF4D24ACF0ACBC60359FF614F9C1315096B586250A26N" TargetMode="External"/><Relationship Id="rId25" Type="http://schemas.openxmlformats.org/officeDocument/2006/relationships/hyperlink" Target="consultantplus://offline/ref=B32CDE0E905E401B1BFF323EF993DB2C6F62F6A7789C3444C3F7F56C5AF257E783F32977DF4B25AAFDACBC60359FF614F9C1315096B586250A26N" TargetMode="External"/><Relationship Id="rId26" Type="http://schemas.openxmlformats.org/officeDocument/2006/relationships/hyperlink" Target="consultantplus://offline/ref=B32CDE0E905E401B1BFF323EF993DB2C6F6DF7AA75973444C3F7F56C5AF257E783F32974D8482DA7A0F6AC647CCBFC0BFEDE2F5388B50824N" TargetMode="External"/><Relationship Id="rId27" Type="http://schemas.openxmlformats.org/officeDocument/2006/relationships/footer" Target="footer16.xml"/><Relationship Id="rId28" Type="http://schemas.openxmlformats.org/officeDocument/2006/relationships/footer" Target="footer17.xml"/><Relationship Id="rId29" Type="http://schemas.openxmlformats.org/officeDocument/2006/relationships/footer" Target="footer18.xml"/><Relationship Id="rId30" Type="http://schemas.openxmlformats.org/officeDocument/2006/relationships/footer" Target="footer19.xml"/><Relationship Id="rId31" Type="http://schemas.openxmlformats.org/officeDocument/2006/relationships/footer" Target="footer20.xml"/><Relationship Id="rId32" Type="http://schemas.openxmlformats.org/officeDocument/2006/relationships/footer" Target="footer21.xml"/><Relationship Id="rId33" Type="http://schemas.openxmlformats.org/officeDocument/2006/relationships/package" Target="embeddings/oleObject3.xlsx"/><Relationship Id="rId34" Type="http://schemas.openxmlformats.org/officeDocument/2006/relationships/image" Target="media/image3.wmf"/><Relationship Id="rId35" Type="http://schemas.openxmlformats.org/officeDocument/2006/relationships/footer" Target="footer22.xml"/><Relationship Id="rId36" Type="http://schemas.openxmlformats.org/officeDocument/2006/relationships/footer" Target="footer23.xml"/><Relationship Id="rId37" Type="http://schemas.openxmlformats.org/officeDocument/2006/relationships/package" Target="embeddings/oleObject4.xlsx"/><Relationship Id="rId38" Type="http://schemas.openxmlformats.org/officeDocument/2006/relationships/image" Target="media/image4.wmf"/><Relationship Id="rId39" Type="http://schemas.openxmlformats.org/officeDocument/2006/relationships/footer" Target="footer24.xml"/><Relationship Id="rId40" Type="http://schemas.openxmlformats.org/officeDocument/2006/relationships/footer" Target="footer25.xml"/><Relationship Id="rId41" Type="http://schemas.openxmlformats.org/officeDocument/2006/relationships/package" Target="embeddings/oleObject5.xlsx"/><Relationship Id="rId42" Type="http://schemas.openxmlformats.org/officeDocument/2006/relationships/image" Target="media/image5.bmp"/><Relationship Id="rId43" Type="http://schemas.openxmlformats.org/officeDocument/2006/relationships/footer" Target="footer26.xml"/><Relationship Id="rId44" Type="http://schemas.openxmlformats.org/officeDocument/2006/relationships/footer" Target="footer27.xml"/><Relationship Id="rId45" Type="http://schemas.openxmlformats.org/officeDocument/2006/relationships/footnotes" Target="footnotes.xml"/><Relationship Id="rId46" Type="http://schemas.openxmlformats.org/officeDocument/2006/relationships/numbering" Target="numbering.xml"/><Relationship Id="rId47" Type="http://schemas.openxmlformats.org/officeDocument/2006/relationships/fontTable" Target="fontTable.xml"/><Relationship Id="rId48" Type="http://schemas.openxmlformats.org/officeDocument/2006/relationships/settings" Target="settings.xml"/><Relationship Id="rId49" Type="http://schemas.openxmlformats.org/officeDocument/2006/relationships/theme" Target="theme/theme1.xml"/><Relationship Id="rId5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2405F-4D95-4B3D-A0E0-62E3909EF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Application>AlterOffice/3.3.1.3$Linux_X86_64 LibreOffice_project/90d829a0d92d6015ad4fa014ce4f460a7fe6c0ba</Application>
  <AppVersion>15.0000</AppVersion>
  <Pages>23</Pages>
  <Words>5628</Words>
  <Characters>39502</Characters>
  <CharactersWithSpaces>42236</CharactersWithSpaces>
  <Paragraphs>858</Paragraphs>
  <Company>####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2025-10-15T16:39:00Z</dcterms:created>
  <dc:creator>Торопов Денис Владимирович</dc:creator>
  <dc:description/>
  <dc:language>ru-RU</dc:language>
  <cp:lastModifiedBy/>
  <cp:lastPrinted>2021-07-09T09:18:00Z</cp:lastPrinted>
  <dcterms:modified xsi:type="dcterms:W3CDTF">2026-07-02T10:58:16Z</dcterms:modified>
  <cp:revision>23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DOID">
    <vt:i4>0</vt:i4>
  </property>
</Properties>
</file>